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 Vorgehen bei fehlenden Unterlagen</w:t>
      </w:r>
    </w:p>
    <w:p>
      <w:r>
        <w:t>Nicht in jedem Verwaltungsverfahren werden sämtliche denkbaren Dokumente oder elektronischen Datensätze vorhanden sein. Ebenso kann es vorkommen, dass bestimmte Unterlagen nicht mehr verfügbar oder aus rechtlichen Gründen nicht vorlegbar sind. Für eine nachvollziehbare gerichtliche Prüfung kann in solchen Fällen eine kurze Erläuterung hilfreich sein.</w:t>
      </w:r>
    </w:p>
    <w:p>
      <w:pPr>
        <w:pStyle w:val="Heading2"/>
      </w:pPr>
      <w:r>
        <w:t>1. Fehlende Dokumente</w:t>
      </w:r>
    </w:p>
    <w:p>
      <w:r>
        <w:t>Kann eine in den Verwaltungsvorgängen üblicherweise zu erwartende Unterlage nicht vorgelegt werden, kann – soweit möglich – erläutert werden, ob eine solche Unterlage ursprünglich vorhanden war oder ob sie im konkreten Verfahren nie entstanden ist.</w:t>
      </w:r>
    </w:p>
    <w:p>
      <w:pPr>
        <w:pStyle w:val="Heading2"/>
      </w:pPr>
      <w:r>
        <w:t>2. Nicht mehr verfügbare Unterlagen</w:t>
      </w:r>
    </w:p>
    <w:p>
      <w:r>
        <w:t>Sofern Unterlagen nicht mehr verfügbar sind, kann eine kurze Darstellung hilfreich sein, aus welchem Grund sie nicht mehr vorgelegt werden können (beispielsweise aufgrund gesetzlicher Aufbewahrungsfristen, technischer Migrationen oder sonstiger dokumentierter Vorgänge).</w:t>
      </w:r>
    </w:p>
    <w:p>
      <w:pPr>
        <w:pStyle w:val="Heading2"/>
      </w:pPr>
      <w:r>
        <w:t>3. Elektronische Informationen</w:t>
      </w:r>
    </w:p>
    <w:p>
      <w:r>
        <w:t>Soweit elektronische Bestandteile des Verwaltungsvorgangs betroffen sind, kann – sofern vorhanden – erläutert werden, ob entsprechende Daten weiterhin verfügbar sind, archiviert wurden oder nicht mehr vorliegen.</w:t>
      </w:r>
    </w:p>
    <w:p>
      <w:pPr>
        <w:pStyle w:val="Heading2"/>
      </w:pPr>
      <w:r>
        <w:t>4. Dokumentation der Vollständigkeit</w:t>
      </w:r>
    </w:p>
    <w:p>
      <w:r>
        <w:t>Eine kurze Erklärung zum Umfang der vorgelegten Behördenakte kann dem Gericht die Einordnung erleichtern. Dies gilt insbesondere dann, wenn einzelne Dokumentengruppen bewusst nicht enthalten sind, weil sie im konkreten Verwaltungsvorgang nicht angefallen sind.</w:t>
      </w:r>
    </w:p>
    <w:p>
      <w:pPr>
        <w:pStyle w:val="Heading2"/>
      </w:pPr>
      <w:r>
        <w:t>5. Ziel dieser Anregungen</w:t>
      </w:r>
    </w:p>
    <w:p>
      <w:r>
        <w:t>Die vorstehenden Hinweise stellen keine eigenständigen Anträge dar. Sie sollen lediglich dazu beitragen, dass Umfang und Grenzen der vorgelegten Behördenakte für das Gericht und die Verfahrensbeteiligten möglichst transparent und nachvollziehbar werden.</w:t>
      </w:r>
    </w:p>
    <w:p>
      <w:pPr>
        <w:pStyle w:val="Heading2"/>
      </w:pPr>
      <w:r>
        <w:t>Überleitung</w:t>
      </w:r>
    </w:p>
    <w:p>
      <w:r>
        <w:t>Im abschließenden Kapitel werden die prozessualen Anträge zusammengefasst und die beigefügten Anlagen eingeordnet.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