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Anrufung der/des Bundesbeauftragten für die Informationsfreiheit (§ 12 IFG)</w:t>
      </w:r>
    </w:p>
    <w:p>
      <w:pPr>
        <w:pBdr>
          <w:bottom w:val="single" w:color="1F3864" w:sz="8" w:space="1"/>
        </w:pBdr>
        <w:spacing w:after="150" w:before="40"/>
      </w:pPr>
      <w:r>
        <w:t xml:space="preserve"/>
      </w:r>
    </w:p>
    <w:p>
      <w:pPr>
        <w:spacing w:after="0" w:line="264"/>
      </w:pPr>
      <w:r>
        <w:rPr>
          <w:b/>
          <w:bCs/>
        </w:rPr>
        <w:t xml:space="preserve">An die/den Bundesbeauftragte(n) für den Datenschutz und die Informationsfreiheit (BfDI)</w:t>
      </w:r>
    </w:p>
    <w:p>
      <w:pPr>
        <w:spacing w:after="150" w:line="264"/>
      </w:pPr>
      <w:r>
        <w:t xml:space="preserve">Graurheindorfer Straße 153, 53117 Bonn – alternativ: poststelle@bfdi.bund.de / Online-Formular</w:t>
      </w:r>
    </w:p>
    <w:p>
      <w:pPr>
        <w:spacing w:after="150"/>
      </w:pPr>
      <w:r>
        <w:rPr>
          <w:b/>
          <w:bCs/>
        </w:rPr>
        <w:t xml:space="preserve">Betreff: Anrufung nach § 12 IFG – automatisierte, ungelesene Schließung von Bürgereingaben im Auswärtigen Amt (System FACIL); Bitte um Prüfung der Verhältnismäßigkeit der Bearbeitung nach Inhalt und der Regeldokumentation der Filterung</w:t>
      </w:r>
    </w:p>
    <w:p>
      <w:pPr>
        <w:spacing w:after="40" w:line="264"/>
      </w:pPr>
      <w:r>
        <w:rPr>
          <w:b/>
          <w:bCs/>
        </w:rPr>
        <w:t xml:space="preserve">Beschwerdeführer: </w:t>
      </w:r>
      <w:r>
        <w:t xml:space="preserve">Dr. Artiom Kovnatsky, Dahlmannstr. 17, 10629 Berlin; [E-Mail].</w:t>
      </w:r>
    </w:p>
    <w:p>
      <w:pPr>
        <w:spacing w:after="150" w:line="264"/>
      </w:pPr>
      <w:r>
        <w:rPr>
          <w:b/>
          <w:bCs/>
        </w:rPr>
        <w:t xml:space="preserve">Betroffene Behörde: </w:t>
      </w:r>
      <w:r>
        <w:t xml:space="preserve">Auswärtiges Amt; Vorgang 759bc4c4-387d-49e7-9e16-9a2b56c9da0e; Gz. R20-511.03 IFG 123-2026.</w:t>
      </w:r>
    </w:p>
    <w:p>
      <w:pPr>
        <w:pStyle w:val="Heading2"/>
      </w:pPr>
      <w:r>
        <w:t xml:space="preserve">I. Anlass</w:t>
      </w:r>
    </w:p>
    <w:p>
      <w:pPr>
        <w:spacing w:after="130" w:line="264"/>
      </w:pPr>
      <w:r>
        <w:t xml:space="preserve">Ich rufe die/den Bundesbeauftragte(n) für die Informationsfreiheit nach § 12 IFG an, da ich mein Recht auf Informationszugang als verletzt ansehe, und bitte zugleich um eine über den Einzelfall hinausgehende, systemische Prüfung.</w:t>
      </w:r>
    </w:p>
    <w:p>
      <w:pPr>
        <w:pStyle w:val="Heading2"/>
      </w:pPr>
      <w:r>
        <w:t xml:space="preserve">II. Sachverhalt</w:t>
      </w:r>
    </w:p>
    <w:p>
      <w:pPr>
        <w:spacing w:after="130" w:line="264"/>
      </w:pPr>
      <w:r>
        <w:t xml:space="preserve">Das Auswärtige Amt bearbeitet nach eigener Darstellung rund 260.000 Bürgeranfragen jährlich über das System FACIL. In der amtlichen Vorgangskorrespondenz heißt es wörtlich, Anfragen würden „nach Versand einer automatischen Antwort durch das System ungelesen geschlossen“. Meinen Antrag auf Informationszugang lehnte die Behörde mit Bescheid vom 12. Mai 2026 ab; den Widerspruch wies sie mit Widerspruchsbescheid vom 2. Juli 2026 zurück, mit der Begründung, es lägen keine amtlichen Informationen vor.</w:t>
      </w:r>
    </w:p>
    <w:p>
      <w:pPr>
        <w:pStyle w:val="Heading2"/>
      </w:pPr>
      <w:r>
        <w:t xml:space="preserve">III. Rügen und Prüfungsbitten</w:t>
      </w:r>
    </w:p>
    <w:p>
      <w:pPr>
        <w:spacing w:after="130" w:line="264"/>
      </w:pPr>
      <w:r>
        <w:rPr>
          <w:b/>
          <w:bCs/>
        </w:rPr>
        <w:t xml:space="preserve">1. Informationszugang. </w:t>
      </w:r>
      <w:r>
        <w:t xml:space="preserve">Die Ablehnung stützt sich auf das Fehlen von Vermerken. Zugleich verarbeitet FACIL nach eigener Darstellung der Behörde Vorgangs-, Protokoll- und Metadaten (Erstellung, Statusänderungen, Weiterleitung, Schließung). Ich bitte um Prüfung, ob die Ablehnung mit § 1 Abs. 1 i.V.m. § 2 Nr. 1 IFG vereinbar ist.</w:t>
      </w:r>
    </w:p>
    <w:p>
      <w:pPr>
        <w:spacing w:after="130" w:line="264"/>
      </w:pPr>
      <w:r>
        <w:rPr>
          <w:b/>
          <w:bCs/>
        </w:rPr>
        <w:t xml:space="preserve">2. Verhältnismäßigkeit der Bearbeitung nach Inhalt. </w:t>
      </w:r>
      <w:r>
        <w:t xml:space="preserve">Ich rege an zu prüfen, ob eine inhaltsblinde, automatisierte Massen-Schließung von Eingaben („ungelesen“) mit dem Zweck des IFG und mit der Pflicht zu einer sachgerechten, nachvollziehbaren Aktenführung vereinbar ist – am Beispiel meiner Tickets, deren Inhalt (Hinweise auf mögliche schwerwiegende Menschenrechtsverletzungen) ungelesen geschlossen wurde. Die Angemessenheit der Bearbeitung sollte sich am inhaltlichen Gewicht der Eingabe orientieren, nicht allein am Massenaufkommen.</w:t>
      </w:r>
    </w:p>
    <w:p>
      <w:pPr>
        <w:spacing w:after="130" w:line="264"/>
      </w:pPr>
      <w:r>
        <w:rPr>
          <w:b/>
          <w:bCs/>
        </w:rPr>
        <w:t xml:space="preserve">3. Regeldokumentation der Filterung. </w:t>
      </w:r>
      <w:r>
        <w:t xml:space="preserve">Ich bitte um Prüfung und gegebenenfalls Beanstandung im Hinblick darauf, ob eine Verwaltungsvorschrift, Dienstanweisung oder Konfigurations-/Kriteriendokumentation existiert, die festlegt, nach welchen Kriterien Eingaben im System FACIL automatisiert „ungelesen“ geschlossen oder einer inhaltlichen Bearbeitung zugeführt werden, und ob diese den Betroffenen nach dem IFG zugänglich ist. Existiert eine solche dokumentierte Regel, ist sie amtliche Information i.S.v. § 2 Nr. 1 IFG. Fehlt sie, bitte ich um Prüfung, ob die inhaltssteuernde Automatisierung ohne schriftliche Grundlage mit den Grundsätzen ordnungsgemäßer, nachvollziehbarer Verwaltung (Art. 20 Abs. 3 GG) vereinbar ist.</w:t>
      </w:r>
    </w:p>
    <w:p>
      <w:pPr>
        <w:spacing w:after="130" w:line="264"/>
      </w:pPr>
      <w:r>
        <w:rPr>
          <w:b/>
          <w:bCs/>
        </w:rPr>
        <w:t xml:space="preserve">4. Inhaltssensible Bearbeitung grundrechtsrelevanter Eingaben. </w:t>
      </w:r>
      <w:r>
        <w:t xml:space="preserve">Eingaben mit Hinweisen auf mögliche schwerwiegende Menschenrechtsverletzungen – insbesondere solche mit möglichem Inlandsbezug – bedürfen aus meiner Sicht einer detaillierteren, dokumentierten Bearbeitung. Ich bitte um Prüfung, ob die derzeitige Architektur dem genügt.</w:t>
      </w:r>
    </w:p>
    <w:p>
      <w:pPr>
        <w:pStyle w:val="Heading2"/>
      </w:pPr>
      <w:r>
        <w:t xml:space="preserve">IV. Antrag</w:t>
      </w:r>
    </w:p>
    <w:p>
      <w:pPr>
        <w:spacing w:after="130" w:line="264"/>
      </w:pPr>
      <w:r>
        <w:t xml:space="preserve">Ich bitte, die geschilderte Praxis zu prüfen, sie gegenüber dem Auswärtigen Amt gegebenenfalls zu beanstanden und mir das Ergebnis mitzuteilen.</w:t>
      </w:r>
    </w:p>
    <w:p>
      <w:pPr>
        <w:spacing w:after="120"/>
      </w:pPr>
      <w:r>
        <w:t xml:space="preserve"/>
      </w:r>
    </w:p>
    <w:p>
      <w:pPr>
        <w:spacing w:after="130" w:line="264"/>
      </w:pPr>
      <w:r>
        <w:t xml:space="preserve">Ort, Datum ________________     Unterschrift ________________ (Dr. A. Kovnatsky)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pPr>
    <w:r>
      <w:rPr>
        <w:color w:val="888888"/>
        <w:sz w:val="16"/>
        <w:szCs w:val="16"/>
      </w:rPr>
      <w:t xml:space="preserve">BfDI-Anrufung (§ 12 IFG) – FACIL</w:t>
    </w:r>
    <w:r>
      <w:rPr>
        <w:sz w:val="16"/>
        <w:szCs w:val="16"/>
      </w:rPr>
      <w:t xml:space="preserve">	</w:t>
    </w:r>
    <w:r>
      <w:rPr>
        <w:color w:val="888888"/>
        <w:sz w:val="16"/>
        <w:szCs w:val="16"/>
      </w:rPr>
      <w:t xml:space="preserve">Seite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000000"/>
      <w:sz w:val="28"/>
      <w:szCs w:val="28"/>
    </w:rPr>
  </w:style>
  <w:style w:type="paragraph" w:styleId="Heading2">
    <w:name w:val="Heading 2"/>
    <w:basedOn w:val="Normal"/>
    <w:next w:val="Normal"/>
    <w:qFormat/>
    <w:pPr>
      <w:spacing w:after="90" w:before="20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2026-07-07T05:35:02.192Z</dcterms:created>
  <dcterms:modified xsi:type="dcterms:W3CDTF">2026-07-07T05:35:02.192Z</dcterms:modified>
</cp:coreProperties>
</file>

<file path=docProps/custom.xml><?xml version="1.0" encoding="utf-8"?>
<Properties xmlns="http://schemas.openxmlformats.org/officeDocument/2006/custom-properties" xmlns:vt="http://schemas.openxmlformats.org/officeDocument/2006/docPropsVTypes"/>
</file>