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60"/>
        <w:jc w:val="center"/>
      </w:pPr>
      <w:r>
        <w:rPr>
          <w:rFonts w:ascii="Georgia" w:cs="Georgia" w:eastAsia="Georgia" w:hAnsi="Georgia"/>
          <w:b/>
          <w:bCs/>
          <w:sz w:val="30"/>
          <w:szCs w:val="30"/>
        </w:rPr>
        <w:t xml:space="preserve">ПАРЛАМЕНТСКИЙ ТРЕК v2</w:t>
      </w:r>
    </w:p>
    <w:p>
      <w:pPr>
        <w:spacing w:after="14" w:before="0"/>
        <w:jc w:val="center"/>
      </w:pPr>
      <w:r>
        <w:rPr>
          <w:rFonts w:ascii="Georgia" w:cs="Georgia" w:eastAsia="Georgia" w:hAnsi="Georgia"/>
          <w:b/>
          <w:bCs/>
          <w:color w:val="8B0000"/>
          <w:sz w:val="21"/>
          <w:szCs w:val="21"/>
        </w:rPr>
        <w:t xml:space="preserve">Открытый бриф фракциям + Петиция + BVerfG</w:t>
      </w:r>
    </w:p>
    <w:p>
      <w:pPr>
        <w:pBdr>
          <w:bottom w:val="single" w:color="AAAAAA" w:sz="2" w:space="1"/>
        </w:pBdr>
        <w:spacing w:after="100" w:before="100"/>
      </w:pPr>
    </w:p>
    <w:p>
      <w:pPr>
        <w:spacing w:after="50" w:before="130"/>
      </w:pPr>
      <w:r>
        <w:rPr>
          <w:rFonts w:ascii="Georgia" w:cs="Georgia" w:eastAsia="Georgia" w:hAnsi="Georgia"/>
          <w:b/>
          <w:bCs/>
          <w:i/>
          <w:iCs/>
          <w:color w:val="444444"/>
          <w:sz w:val="22"/>
          <w:szCs w:val="22"/>
        </w:rPr>
        <w:t xml:space="preserve">Актенцайхен — единый список (во все письма)</w:t>
      </w:r>
    </w:p>
    <w:p>
      <w:pPr>
        <w:spacing w:after="20" w:before="20"/>
        <w:jc w:val="both"/>
      </w:pPr>
      <w:r>
        <w:rPr>
          <w:rFonts w:ascii="Georgia" w:cs="Georgia" w:eastAsia="Georgia" w:hAnsi="Georgia"/>
          <w:b/>
          <w:bCs/>
          <w:sz w:val="22"/>
          <w:szCs w:val="22"/>
        </w:rPr>
        <w:t xml:space="preserve">AA Vorgang 1: </w:t>
      </w:r>
      <w:r>
        <w:rPr>
          <w:rFonts w:ascii="Georgia" w:cs="Georgia" w:eastAsia="Georgia" w:hAnsi="Georgia"/>
          <w:sz w:val="22"/>
          <w:szCs w:val="22"/>
        </w:rPr>
        <w:t xml:space="preserve">759bc4c4-387d-49e7-9e16-9a2b56c9da0e (GZ 505-511.03 IF 123-2026)</w:t>
      </w:r>
    </w:p>
    <w:p>
      <w:pPr>
        <w:spacing w:after="20" w:before="20"/>
        <w:jc w:val="both"/>
      </w:pPr>
      <w:r>
        <w:rPr>
          <w:rFonts w:ascii="Georgia" w:cs="Georgia" w:eastAsia="Georgia" w:hAnsi="Georgia"/>
          <w:b/>
          <w:bCs/>
          <w:sz w:val="22"/>
          <w:szCs w:val="22"/>
        </w:rPr>
        <w:t xml:space="preserve">AA Vorgang 2: </w:t>
      </w:r>
      <w:r>
        <w:rPr>
          <w:rFonts w:ascii="Georgia" w:cs="Georgia" w:eastAsia="Georgia" w:hAnsi="Georgia"/>
          <w:sz w:val="22"/>
          <w:szCs w:val="22"/>
        </w:rPr>
        <w:t xml:space="preserve">e814bd1a-a632-4744-b326-9bce0a0d5bec (GZ R20-511.03 IFG 123-2026)</w:t>
      </w:r>
    </w:p>
    <w:p>
      <w:pPr>
        <w:spacing w:after="20" w:before="20"/>
        <w:jc w:val="both"/>
      </w:pPr>
      <w:r>
        <w:rPr>
          <w:rFonts w:ascii="Georgia" w:cs="Georgia" w:eastAsia="Georgia" w:hAnsi="Georgia"/>
          <w:b/>
          <w:bCs/>
          <w:sz w:val="22"/>
          <w:szCs w:val="22"/>
        </w:rPr>
        <w:t xml:space="preserve">BfDI: </w:t>
      </w:r>
      <w:r>
        <w:rPr>
          <w:rFonts w:ascii="Georgia" w:cs="Georgia" w:eastAsia="Georgia" w:hAnsi="Georgia"/>
          <w:sz w:val="22"/>
          <w:szCs w:val="22"/>
        </w:rPr>
        <w:t xml:space="preserve">DI3-722/002 II#0517; Dok. 66247/2026</w:t>
      </w:r>
    </w:p>
    <w:p>
      <w:pPr>
        <w:spacing w:after="20" w:before="20"/>
        <w:jc w:val="both"/>
      </w:pPr>
      <w:r>
        <w:rPr>
          <w:rFonts w:ascii="Georgia" w:cs="Georgia" w:eastAsia="Georgia" w:hAnsi="Georgia"/>
          <w:b/>
          <w:bCs/>
          <w:sz w:val="22"/>
          <w:szCs w:val="22"/>
        </w:rPr>
        <w:t xml:space="preserve">BVerfG: </w:t>
      </w:r>
      <w:r>
        <w:rPr>
          <w:rFonts w:ascii="Georgia" w:cs="Georgia" w:eastAsia="Georgia" w:hAnsi="Georgia"/>
          <w:sz w:val="22"/>
          <w:szCs w:val="22"/>
        </w:rPr>
        <w:t xml:space="preserve">AR 2734/26</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ПИСЬМО A — Открытый бриф фракциям</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Dr. Artiom A. Kovnatsky, Dahlmannstraße 17, 10629 Berlin — artiom.kovnatsky@gmail.com</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Berlin, den 29.06.2026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An die Fraktion [____] im Deutschen Bundestag</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Nachrichtlich, gleichlautend (zur Vermeidung jeder Diskriminierung): SPD-, CDU/CSU-, Bündnis 90/Die Grünen-, FDP-, AfD-Bundestagsfraktion; Gruppe Die Linke / BSW; BfDI; Verwaltungsgericht Berlin (zur Gerichtsakte).</w:t>
      </w:r>
    </w:p>
    <w:p>
      <w:pPr>
        <w:spacing w:after="0" w:before="6"/>
      </w:pP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Betreff: Bitte um parlamentarische Prüfung — Umgang des Auswärtigen Amtes mit Menschenrechtseingaben</w:t>
      </w: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Bezug: AA 759bc4c4 (505-511.03 IF 123-2026) und e814bd1a (R20-511.03 IFG 123-2026); BfDI DI3-722/002 II#0517 (Dok. 66247/2026); BVerfG AR 2734/26</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Sehr geehrte Damen und Herren,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Zur Sicherung der Beweislage wurde das Auswärtige Amt am 22.06.2026 erstmals und am 25.06.2026 förmlich um ein Löschungsmoratorium ersucht: keine Löschung, Veränderung oder Umklassifizierung der FACIL-Systemlogs (mit Zeitstempeln), der Metadaten, der Datenbankeinträge sowie der „privileged“-Anlagen (§ 274 StGB).</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Klarstellung zu den zwei Vorgängen: Es wurden keine Nummern ausgetauscht. Der erste Vorgang (759bc4c4) wurde geschlossen — was ich anfechte —; der zweite (e814bd1a) öffnete sich automatisch, als ich Unterlagen per E-Mail nachreichte.</w:t>
      </w: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Falls Sie das Verfahren prüfen, bitte ich höflich um folgende Schritte: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1. Anforderung der vollständigen Akten bei allen genannten Behörden unter den o.g. Aktenzeichen — jede Behörde verfügt über eigene Unterlagen.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2. Ausdrückliche Anforderung der FACIL-Systemlogs inkl. sämtlicher Zeitstempel, der Metadaten und der Datenbankeinträge (wer, wann und warum Änderungen vornahm). Da das Auswärtige Amt bereits um ein Löschungsmoratorium ersucht wurde (22.06./25.06.2026, § 274 StGB), bitte ich zu prüfen, ob danach noch Modifikationen erfolgten.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3. Übermittlung der Prüfungsergebnisse an das Verwaltungsgericht Berlin (zur Gerichtsakte). Dies unterstützt die für den 09.09.2026 vorgesehene Klage.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4. Behördenübergreifende Koordinierung, sodass neu eingehende Daten bei Ihnen zusammenlaufen.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Mit freundlichen Grüßen — Dr. Artiom A. Kovnatsky</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Bitte kontaktieren Sie mich auf jedem Ihnen geeigneten Weg.</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ПИСЬМО B — Петиция (Art. 17 GG)</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An den Deutschen Bundestag — Petitionsausschuss, Platz der Republik 1, 11011 Berlin</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(лучше онлайн: epetitionen.bundestag.de)</w:t>
      </w:r>
    </w:p>
    <w:p>
      <w:pPr>
        <w:spacing w:after="0" w:before="6"/>
      </w:pP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Betreff: Petition gem. Art. 17 GG — systemische Informationsverweigerung durch das Auswärtige Amt; Bezug AA 759bc4c4 / e814bd1a; BfDI DI3-722/002 II#0517; BVerfG AR 2734/26</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Sehr geehrte Damen und Herren des Petitionsausschusses,</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als deutscher und israelischer Staatsbürger und Enkel eines Überlebenden der Shoah bitte ich um eine parlamentarische Prüfung des Umgangs des Auswärtigen Amtes mit Bürgereingaben: (1) Werden Eingaben nach einer Autoantwort „ungelesen geschlossen“? (2) Werden Menschenrechts-Anlagen als „privileged“ mit Löschungsvermerk geführt? (3) In wie vielen Vorgängen 2024–2026?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Hintergrund: rund neun Monate ohne Sachentscheidung; Bescheid vom 12.05.2026 („keine amtlichen Informationen“) im Widerspruch zu 30+ „privileged“-Anlagen. Der BfDI prüft bereits; eine Untätigkeitsklage ist für den 09.09.2026 vorgesehen.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Keine Sperrfrist: Das Petitionsrecht (Art. 17 GG) kennt keine Wartefrist; die Dreimonatsfrist des § 75 VwGO betrifft allein die Klage. Angesichts der gesellschaftlichen Bedeutung bitte ich um vorrangige Behandlung.</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Entbindung von der Verschwiegenheitspflicht: Ich entbinde den BfDI sowie das Verwaltungsgericht Berlin hiermit ausdrücklich von der Verschwiegenheitspflicht gegenüber dem Petitionsausschuss zwecks Akteneinsicht (Bezug BfDI: Einverständniserklärung, Dok. 66247/2026).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Ich bitte um Eingangsbestätigung und Petitionsnummer. Mit freundlichen Grüßen — Dr. Artiom A. Kovnatsky</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ПИСЬМО C — BVerfG (AR 2734/26)</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An das Bundesverfassungsgericht — Allgemeines Register, Postfach 1771, 76006 Karlsruhe — Einschreiben</w:t>
      </w:r>
    </w:p>
    <w:p>
      <w:pPr>
        <w:spacing w:after="0" w:before="6"/>
      </w:pP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Betreff: AR 2734/26 — ergänzende Sachstandsmitteilung</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Sehr geehrte Damen und Herren,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ergänzend zu Ihrem Schreiben vom 15.05.2026 teile ich zur Vervollständigung der im Allgemeinen Register geführten Vorgangsakte mit:</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1. Der BfDI hat ein aufsichtsrechtliches Prüfverfahren gegen das Auswärtige Amt eingeleitet (DI3-722/002 II#0517).</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2. Eine Untätigkeitsklage beim Verwaltungsgericht Berlin ist für den 09.09.2026 vorgesehen (Fristablauf 08.09.2026); das Auswärtige Amt wurde am 22.06.2026 erstmals und am 25.06.2026 förmlich um Sicherung sämtlicher FACIL-Logs, Metadaten und Datenbankeinträge ersucht (Löschungsmoratorium, § 274 StGB).</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3. Beim Auswärtigen Amt bestehen zwei Vorgänge: 759bc4c4 (geschlossen, angefochten) und e814bd1a (automatisch eröffnet bei Nachreichung von Unterlagen). Es wurden keine Nummern ausgetauscht.</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Ich bitte, diese Mitteilung dem Vorgang AR 2734/26 zuzuordnen. Mir ist bewusst, dass das Gericht außerhalb einer Verfassungsbeschwerde nicht tätig wird; die Mitteilung dient allein der Vollständigkeit der Aktenlage.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Mit vorzüglicher Hochachtung — Dr. Artiom A. Kovnatsky</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Блок для Klageschrift (НЕ в петицию)</w:t>
      </w:r>
    </w:p>
    <w:p>
      <w:pPr>
        <w:spacing w:after="70" w:before="70"/>
        <w:jc w:val="both"/>
      </w:pPr>
      <w:r>
        <w:rPr>
          <w:rFonts w:ascii="Georgia" w:cs="Georgia" w:eastAsia="Georgia" w:hAnsi="Georgia"/>
          <w:b/>
          <w:bCs/>
          <w:sz w:val="22"/>
          <w:szCs w:val="22"/>
        </w:rPr>
        <w:t xml:space="preserve">§ 101 Abs. 2 VwGO — отказ от устного слушания. </w:t>
      </w:r>
      <w:r>
        <w:rPr>
          <w:rFonts w:ascii="Georgia" w:cs="Georgia" w:eastAsia="Georgia" w:hAnsi="Georgia"/>
          <w:sz w:val="22"/>
          <w:szCs w:val="22"/>
        </w:rPr>
        <w:t xml:space="preserve">Это для СУДА (VG Berlin), вставьте в Klageschrift 09.09:</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Anregung einer Entscheidung im schriftlichen Verfahren (§ 101 Abs. 2 VwGO): Aus gesundheitlichen Gründen und zum Schutz meiner Privatsphäre — insbesondere vor dem Hintergrund der belastenden familiären Bedeutung dieser Menschenrechtsthematik — verzichte ich ausdrücklich auf eine mündliche Verhandlung. Ich vertraue der deutschen Justiz vollumfänglich und rege an, im schriftlichen Verfahren zu entscheiden. Für Rückfragen und Beweisanforderungen stehe ich jederzeit schriftlich zur Verfügung.</w:t>
      </w:r>
    </w:p>
    <w:p>
      <w:pPr>
        <w:pBdr>
          <w:bottom w:val="single" w:color="AAAAAA" w:sz="2" w:space="1"/>
        </w:pBdr>
        <w:spacing w:after="100" w:before="100"/>
      </w:pPr>
    </w:p>
    <w:p>
      <w:pPr>
        <w:spacing w:after="110" w:before="240"/>
      </w:pPr>
      <w:r>
        <w:rPr>
          <w:rFonts w:ascii="Georgia" w:cs="Georgia" w:eastAsia="Georgia" w:hAnsi="Georgia"/>
          <w:b/>
          <w:bCs/>
          <w:color w:val="1a1a1a"/>
          <w:sz w:val="27"/>
          <w:szCs w:val="27"/>
        </w:rPr>
        <w:t xml:space="preserve">Что релевантно, но не додумали</w:t>
      </w:r>
    </w:p>
    <w:p>
      <w:pPr>
        <w:spacing w:after="50" w:before="130"/>
      </w:pPr>
      <w:r>
        <w:rPr>
          <w:rFonts w:ascii="Georgia" w:cs="Georgia" w:eastAsia="Georgia" w:hAnsi="Georgia"/>
          <w:b/>
          <w:bCs/>
          <w:i/>
          <w:iCs/>
          <w:color w:val="444444"/>
          <w:sz w:val="22"/>
          <w:szCs w:val="22"/>
        </w:rPr>
        <w:t xml:space="preserve">1. Рассылка всем фракциям = решение проблемы AfD</w:t>
      </w:r>
    </w:p>
    <w:p>
      <w:pPr>
        <w:spacing w:after="70" w:before="70"/>
        <w:jc w:val="both"/>
      </w:pPr>
      <w:r>
        <w:rPr>
          <w:rFonts w:ascii="Georgia" w:cs="Georgia" w:eastAsia="Georgia" w:hAnsi="Georgia"/>
          <w:sz w:val="22"/>
          <w:szCs w:val="22"/>
        </w:rPr>
        <w:t xml:space="preserve">Ваш «nachrichtlich всем» — изящный ход: вы не обхаживаете никого, все равны. Это снимает риск ярлыка и сильнее ставки на одну партию.</w:t>
      </w:r>
    </w:p>
    <w:p>
      <w:pPr>
        <w:spacing w:after="50" w:before="130"/>
      </w:pPr>
      <w:r>
        <w:rPr>
          <w:rFonts w:ascii="Georgia" w:cs="Georgia" w:eastAsia="Georgia" w:hAnsi="Georgia"/>
          <w:b/>
          <w:bCs/>
          <w:i/>
          <w:iCs/>
          <w:color w:val="444444"/>
          <w:sz w:val="22"/>
          <w:szCs w:val="22"/>
        </w:rPr>
        <w:t xml:space="preserve">2. 7 дней — символ, не закон</w:t>
      </w:r>
    </w:p>
    <w:p>
      <w:pPr>
        <w:spacing w:after="70" w:before="70"/>
        <w:jc w:val="both"/>
      </w:pPr>
      <w:r>
        <w:rPr>
          <w:rFonts w:ascii="Georgia" w:cs="Georgia" w:eastAsia="Georgia" w:hAnsi="Georgia"/>
          <w:sz w:val="22"/>
          <w:szCs w:val="22"/>
        </w:rPr>
        <w:t xml:space="preserve">Для фракций 7 дней юридически ни к чему не обязывают (7 дней — это срок ПРАВИТЕЛЬСТВА на Schriftliche Frage ОТ депутата, не на ваше письмо). Оставил как вежливую просьбу + публичную фиксацию. Убрал «отвернулись/соучастие/казнь» — это было бы угрозой и ослабило письмо.</w:t>
      </w:r>
    </w:p>
    <w:p>
      <w:pPr>
        <w:spacing w:after="50" w:before="130"/>
      </w:pPr>
      <w:r>
        <w:rPr>
          <w:rFonts w:ascii="Georgia" w:cs="Georgia" w:eastAsia="Georgia" w:hAnsi="Georgia"/>
          <w:b/>
          <w:bCs/>
          <w:i/>
          <w:iCs/>
          <w:color w:val="444444"/>
          <w:sz w:val="22"/>
          <w:szCs w:val="22"/>
        </w:rPr>
        <w:t xml:space="preserve">3. Конфиденциальные заготовки для суда — осторожно</w:t>
      </w:r>
    </w:p>
    <w:p>
      <w:pPr>
        <w:spacing w:after="70" w:before="70"/>
        <w:jc w:val="both"/>
      </w:pPr>
      <w:r>
        <w:rPr>
          <w:rFonts w:ascii="Georgia" w:cs="Georgia" w:eastAsia="Georgia" w:hAnsi="Georgia"/>
          <w:sz w:val="22"/>
          <w:szCs w:val="22"/>
        </w:rPr>
        <w:t xml:space="preserve">Не рассылайте ваши судебные черновики многим фракциям: пометка «конфиденциально» не делает их тайными, а раскрытие стратегии может повредить иску. Лучше дать им факты+хронологию (v9), а Klageschrift держать для суда.</w:t>
      </w:r>
    </w:p>
    <w:p>
      <w:pPr>
        <w:spacing w:after="50" w:before="130"/>
      </w:pPr>
      <w:r>
        <w:rPr>
          <w:rFonts w:ascii="Georgia" w:cs="Georgia" w:eastAsia="Georgia" w:hAnsi="Georgia"/>
          <w:b/>
          <w:bCs/>
          <w:i/>
          <w:iCs/>
          <w:color w:val="444444"/>
          <w:sz w:val="22"/>
          <w:szCs w:val="22"/>
        </w:rPr>
        <w:t xml:space="preserve">4. Исправлено по фактам</w:t>
      </w:r>
    </w:p>
    <w:p>
      <w:pPr>
        <w:spacing w:after="70" w:before="70"/>
        <w:jc w:val="both"/>
      </w:pPr>
      <w:r>
        <w:rPr>
          <w:rFonts w:ascii="Georgia" w:cs="Georgia" w:eastAsia="Georgia" w:hAnsi="Georgia"/>
          <w:sz w:val="22"/>
          <w:szCs w:val="22"/>
        </w:rPr>
        <w:t xml:space="preserve">Тикеты НЕ подменяли (1 закрыт, 2 авто-открылся) — во всех письмах. Путь 09.09 (убрал 25.06 Eilantrag). Все номера сведены в блок «Bezug».</w:t>
      </w:r>
    </w:p>
    <w:p>
      <w:pPr>
        <w:spacing w:after="50" w:before="130"/>
      </w:pPr>
      <w:r>
        <w:rPr>
          <w:rFonts w:ascii="Georgia" w:cs="Georgia" w:eastAsia="Georgia" w:hAnsi="Georgia"/>
          <w:b/>
          <w:bCs/>
          <w:i/>
          <w:iCs/>
          <w:color w:val="444444"/>
          <w:sz w:val="22"/>
          <w:szCs w:val="22"/>
        </w:rPr>
        <w:t xml:space="preserve">5. Здоровье</w:t>
      </w:r>
    </w:p>
    <w:p>
      <w:pPr>
        <w:spacing w:after="70" w:before="70"/>
        <w:jc w:val="both"/>
      </w:pPr>
      <w:r>
        <w:rPr>
          <w:rFonts w:ascii="Georgia" w:cs="Georgia" w:eastAsia="Georgia" w:hAnsi="Georgia"/>
          <w:sz w:val="22"/>
          <w:szCs w:val="22"/>
        </w:rPr>
        <w:t xml:space="preserve">Парламентский трек — без срочных юридических дедлайнов. Отправьте 29.06 и отпустите. Главный рубеж — 09.09.</w:t>
      </w:r>
    </w:p>
    <w:p>
      <w:pPr>
        <w:pBdr>
          <w:bottom w:val="single" w:color="AAAAAA" w:sz="2" w:space="1"/>
        </w:pBdr>
        <w:spacing w:after="100" w:before="100"/>
      </w:pPr>
    </w:p>
    <w:p>
      <w:pPr>
        <w:spacing w:after="0" w:before="24"/>
      </w:pPr>
    </w:p>
    <w:p>
      <w:pPr>
        <w:spacing w:after="70" w:before="70"/>
        <w:jc w:val="both"/>
      </w:pPr>
      <w:r>
        <w:rPr>
          <w:rFonts w:ascii="Georgia" w:cs="Georgia" w:eastAsia="Georgia" w:hAnsi="Georgia"/>
          <w:i/>
          <w:iCs/>
          <w:sz w:val="22"/>
          <w:szCs w:val="22"/>
        </w:rPr>
        <w:t xml:space="preserve">Составлено: 29.06.2026 — Dr. Artiom A. Kovnatsky</w:t>
      </w:r>
    </w:p>
    <w:p>
      <w:pPr>
        <w:spacing w:after="70" w:before="70"/>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4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Offener Brief + Petition (Art. 17 GG) + BVerfG-Mitteilung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Parlamentarischer Track v2 — 759bc4c4 / e814bd1a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2026-06-23T18:38:01.103Z</dcterms:created>
  <dcterms:modified xsi:type="dcterms:W3CDTF">2026-06-23T18:38:01.119Z</dcterms:modified>
</cp:coreProperties>
</file>

<file path=docProps/custom.xml><?xml version="1.0" encoding="utf-8"?>
<Properties xmlns="http://schemas.openxmlformats.org/officeDocument/2006/custom-properties" xmlns:vt="http://schemas.openxmlformats.org/officeDocument/2006/docPropsVTypes"/>
</file>