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ARIA FinOps: End-to-End Demo Blueprint</w:t>
      </w:r>
    </w:p>
    <w:p>
      <w:pPr>
        <w:pStyle w:val="Heading2"/>
        <w:pStyle w:val="MdHeading2"/>
      </w:pPr>
      <w:r>
        <w:t xml:space="preserve">1. Executive Summary</w:t>
      </w:r>
    </w:p>
    <w:p>
      <w:pPr>
        <w:pStyle w:val="MdParagraph"/>
      </w:pPr>
      <w:r>
        <w:t xml:space="preserve">This blueprint outlines the architecture and implementation strategy for the ARIA FinOps and Cost Intelligence demo. Designed as an end-to-end showcase, this module provides comprehensive tracking, attribution, and optimization of AI costs across the enterprise. It leverages a robust Spring Boot backend and a dynamic React.js frontend, aligning with the existing ARIA platform's production-grade specifications [1]. The demo specifically highlights the "Before vs. After ARIA" value proposition, demonstrating tangible cost savings through intelligent optimization.</w:t>
      </w:r>
    </w:p>
    <w:p>
      <w:pPr>
        <w:pStyle w:val="MdSpace"/>
        <w:spacing w:before="0" w:after="60"/>
      </w:pPr>
    </w:p>
    <w:p>
      <w:pPr>
        <w:pStyle w:val="Heading2"/>
        <w:pStyle w:val="MdHeading2"/>
      </w:pPr>
      <w:r>
        <w:t xml:space="preserve">2. Core Philosophy: Total AI Runtime Cost</w:t>
      </w:r>
    </w:p>
    <w:p>
      <w:pPr>
        <w:pStyle w:val="MdParagraph"/>
      </w:pPr>
      <w:r>
        <w:t xml:space="preserve">The FinOps module moves beyond simple API token counting to capture the </w:t>
      </w:r>
      <w:r>
        <w:rPr>
          <w:rStyle w:val="MdStrong"/>
          <w:b/>
          <w:bCs/>
        </w:rPr>
        <w:t xml:space="preserve">Total AI Runtime Cost</w:t>
      </w:r>
      <w:r>
        <w:t xml:space="preserve">. This holistic approach ensures accurate chargebacks and identifies true optimization opportunities.</w:t>
      </w:r>
    </w:p>
    <w:p>
      <w:pPr>
        <w:pStyle w:val="MdSpace"/>
        <w:spacing w:before="0" w:after="60"/>
      </w:pPr>
    </w:p>
    <w:p>
      <w:pPr>
        <w:pStyle w:val="MdParagraph"/>
      </w:pPr>
      <w:r>
        <w:t xml:space="preserve">The fundamental formula is:
</w:t>
      </w:r>
      <w:r>
        <w:rPr>
          <w:rStyle w:val="MdCode"/>
          <w:u w:val="single"/>
        </w:rPr>
        <w:t xml:space="preserve">Total Cost = Model Cost + Infrastructure Cost + Observability Cost + Governance Cost + Storage Cost + Network Cost</w:t>
      </w:r>
    </w:p>
    <w:p>
      <w:pPr>
        <w:pStyle w:val="MdSpace"/>
        <w:spacing w:before="0" w:after="60"/>
      </w:pPr>
    </w:p>
    <w:p>
      <w:pPr>
        <w:pStyle w:val="Heading2"/>
        <w:pStyle w:val="MdHeading2"/>
      </w:pPr>
      <w:r>
        <w:t xml:space="preserve">3. Data Model and API Design</w:t>
      </w:r>
    </w:p>
    <w:p>
      <w:pPr>
        <w:pStyle w:val="MdParagraph"/>
      </w:pPr>
      <w:r>
        <w:t xml:space="preserve">The foundation of the FinOps module is a granular and extensible data model, implemented in PostgreSQL.</w:t>
      </w:r>
    </w:p>
    <w:p>
      <w:pPr>
        <w:pStyle w:val="MdSpace"/>
        <w:spacing w:before="0" w:after="60"/>
      </w:pPr>
    </w:p>
    <w:p>
      <w:pPr>
        <w:pStyle w:val="Heading3"/>
        <w:pStyle w:val="MdHeading3"/>
      </w:pPr>
      <w:r>
        <w:t xml:space="preserve">3.1. Core Tables</w:t>
      </w:r>
    </w:p>
    <w:p>
      <w:pPr>
        <w:pStyle w:val="MdListItem"/>
        <w:numPr>
          <w:ilvl w:val="0"/>
          <w:numId w:val="2"/>
        </w:numPr>
      </w:pPr>
      <w:r>
        <w:rPr>
          <w:rStyle w:val="MdCode"/>
          <w:b/>
          <w:bCs/>
          <w:u w:val="single"/>
        </w:rPr>
        <w:t xml:space="preserve">ai_usage_event</w:t>
      </w:r>
      <w:r>
        <w:t xml:space="preserve">: Captures individual AI interactions at the lowest level. It records the user, model (e.g., Claude Opus 4.7, Haiku, Codex), application, line of business (LOB), environment, token usage, and the calculated costs across all buckets. A crucial </w:t>
      </w:r>
      <w:r>
        <w:rPr>
          <w:rStyle w:val="MdCode"/>
          <w:u w:val="single"/>
        </w:rPr>
        <w:t xml:space="preserve">is_optimized</w:t>
      </w:r>
      <w:r>
        <w:t xml:space="preserve"> flag enables the "Before vs. After" comparison.</w:t>
      </w:r>
    </w:p>
    <w:p>
      <w:pPr>
        <w:pStyle w:val="MdListItem"/>
        <w:numPr>
          <w:ilvl w:val="0"/>
          <w:numId w:val="2"/>
        </w:numPr>
      </w:pPr>
      <w:r>
        <w:rPr>
          <w:rStyle w:val="MdCode"/>
          <w:b/>
          <w:bCs/>
          <w:u w:val="single"/>
        </w:rPr>
        <w:t xml:space="preserve">cost_dimension_mapping</w:t>
      </w:r>
      <w:r>
        <w:t xml:space="preserve">: Stores metadata and hierarchical relationships for various cost dimensions (User, Model, Application, LOB, Product, Solution), allowing for flexible grouping and reporting.</w:t>
      </w:r>
    </w:p>
    <w:p>
      <w:pPr>
        <w:pStyle w:val="MdListItem"/>
        <w:numPr>
          <w:ilvl w:val="0"/>
          <w:numId w:val="2"/>
        </w:numPr>
      </w:pPr>
      <w:r>
        <w:rPr>
          <w:rStyle w:val="MdCode"/>
          <w:b/>
          <w:bCs/>
          <w:u w:val="single"/>
        </w:rPr>
        <w:t xml:space="preserve">optimization_recommendation</w:t>
      </w:r>
      <w:r>
        <w:t xml:space="preserve">: Stores actionable recommendations generated by the Optimization Engine, including estimated savings, confidence scores, and status (Pending, Applied, Dismissed).</w:t>
      </w:r>
    </w:p>
    <w:p>
      <w:pPr>
        <w:pStyle w:val="MdListItem"/>
        <w:numPr>
          <w:ilvl w:val="0"/>
          <w:numId w:val="2"/>
        </w:numPr>
      </w:pPr>
      <w:r>
        <w:rPr>
          <w:rStyle w:val="MdCode"/>
          <w:b/>
          <w:bCs/>
          <w:u w:val="single"/>
        </w:rPr>
        <w:t xml:space="preserve">cost_model_rates</w:t>
      </w:r>
      <w:r>
        <w:t xml:space="preserve">: Maintains dynamic pricing rates for various AI models and infrastructure components.</w:t>
      </w:r>
    </w:p>
    <w:p>
      <w:pPr>
        <w:pStyle w:val="MdSpace"/>
        <w:spacing w:before="0" w:after="60"/>
      </w:pPr>
    </w:p>
    <w:p>
      <w:pPr>
        <w:pStyle w:val="Heading3"/>
        <w:pStyle w:val="MdHeading3"/>
      </w:pPr>
      <w:r>
        <w:t xml:space="preserve">3.2. Key API Endpoints</w:t>
      </w:r>
    </w:p>
    <w:p>
      <w:pPr>
        <w:pStyle w:val="MdParagraph"/>
      </w:pPr>
      <w:r>
        <w:t xml:space="preserve">The Spring Boot backend exposes RESTful APIs secured via JWT authentication:</w:t>
      </w:r>
    </w:p>
    <w:p>
      <w:pPr>
        <w:pStyle w:val="MdSpace"/>
        <w:spacing w:before="0" w:after="60"/>
      </w:pPr>
    </w:p>
    <w:p>
      <w:pPr>
        <w:pStyle w:val="MdListItem"/>
        <w:numPr>
          <w:ilvl w:val="0"/>
          <w:numId w:val="2"/>
        </w:numPr>
      </w:pPr>
      <w:r>
        <w:rPr>
          <w:rStyle w:val="MdStrong"/>
          <w:b/>
          <w:bCs/>
        </w:rPr>
        <w:t xml:space="preserve">Ingestion</w:t>
      </w:r>
      <w:r>
        <w:t xml:space="preserve">: </w:t>
      </w:r>
      <w:r>
        <w:rPr>
          <w:rStyle w:val="MdCode"/>
          <w:u w:val="single"/>
        </w:rPr>
        <w:t xml:space="preserve">POST /api/v1/finops/usage-events</w:t>
      </w:r>
      <w:r>
        <w:t xml:space="preserve"> handles high-volume ingestion of raw AI usage data from IDE plugins, internal agents, and external systems.</w:t>
      </w:r>
    </w:p>
    <w:p>
      <w:pPr>
        <w:pStyle w:val="MdListItem"/>
        <w:numPr>
          <w:ilvl w:val="0"/>
          <w:numId w:val="2"/>
        </w:numPr>
      </w:pPr>
      <w:r>
        <w:rPr>
          <w:rStyle w:val="MdStrong"/>
          <w:b/>
          <w:bCs/>
        </w:rPr>
        <w:t xml:space="preserve">Reporting</w:t>
      </w:r>
      <w:r>
        <w:t xml:space="preserve">: </w:t>
      </w:r>
      <w:r>
        <w:rPr>
          <w:rStyle w:val="MdCode"/>
          <w:u w:val="single"/>
        </w:rPr>
        <w:t xml:space="preserve">GET /api/v1/finops/costs</w:t>
      </w:r>
      <w:r>
        <w:t xml:space="preserve"> and </w:t>
      </w:r>
      <w:r>
        <w:rPr>
          <w:rStyle w:val="MdCode"/>
          <w:u w:val="single"/>
        </w:rPr>
        <w:t xml:space="preserve">GET /api/v1/finops/costs/summary</w:t>
      </w:r>
      <w:r>
        <w:t xml:space="preserve"> provide aggregated data for dashboards, supporting complex filtering and grouping.</w:t>
      </w:r>
    </w:p>
    <w:p>
      <w:pPr>
        <w:pStyle w:val="MdListItem"/>
        <w:numPr>
          <w:ilvl w:val="0"/>
          <w:numId w:val="2"/>
        </w:numPr>
      </w:pPr>
      <w:r>
        <w:rPr>
          <w:rStyle w:val="MdStrong"/>
          <w:b/>
          <w:bCs/>
        </w:rPr>
        <w:t xml:space="preserve">Comparison</w:t>
      </w:r>
      <w:r>
        <w:t xml:space="preserve">: </w:t>
      </w:r>
      <w:r>
        <w:rPr>
          <w:rStyle w:val="MdCode"/>
          <w:u w:val="single"/>
        </w:rPr>
        <w:t xml:space="preserve">GET /api/v1/finops/costs/before-after</w:t>
      </w:r>
      <w:r>
        <w:t xml:space="preserve"> retrieves data specifically structured to showcase the impact of optimizations.</w:t>
      </w:r>
    </w:p>
    <w:p>
      <w:pPr>
        <w:pStyle w:val="MdListItem"/>
        <w:numPr>
          <w:ilvl w:val="0"/>
          <w:numId w:val="2"/>
        </w:numPr>
      </w:pPr>
      <w:r>
        <w:rPr>
          <w:rStyle w:val="MdStrong"/>
          <w:b/>
          <w:bCs/>
        </w:rPr>
        <w:t xml:space="preserve">Optimization</w:t>
      </w:r>
      <w:r>
        <w:t xml:space="preserve">: Endpoints to retrieve (</w:t>
      </w:r>
      <w:r>
        <w:rPr>
          <w:rStyle w:val="MdCode"/>
          <w:u w:val="single"/>
        </w:rPr>
        <w:t xml:space="preserve">GET /api/v1/finops/recommendations</w:t>
      </w:r>
      <w:r>
        <w:t xml:space="preserve">) and act upon (</w:t>
      </w:r>
      <w:r>
        <w:rPr>
          <w:rStyle w:val="MdCode"/>
          <w:u w:val="single"/>
        </w:rPr>
        <w:t xml:space="preserve">POST .../apply</w:t>
      </w:r>
      <w:r>
        <w:t xml:space="preserve">, </w:t>
      </w:r>
      <w:r>
        <w:rPr>
          <w:rStyle w:val="MdCode"/>
          <w:u w:val="single"/>
        </w:rPr>
        <w:t xml:space="preserve">POST .../dismiss</w:t>
      </w:r>
      <w:r>
        <w:t xml:space="preserve">) recommendations.</w:t>
      </w:r>
    </w:p>
    <w:p>
      <w:pPr>
        <w:pStyle w:val="MdSpace"/>
        <w:spacing w:before="0" w:after="60"/>
      </w:pPr>
    </w:p>
    <w:p>
      <w:pPr>
        <w:pStyle w:val="Heading2"/>
        <w:pStyle w:val="MdHeading2"/>
      </w:pPr>
      <w:r>
        <w:t xml:space="preserve">4. Spring Boot Backend Architecture</w:t>
      </w:r>
    </w:p>
    <w:p>
      <w:pPr>
        <w:pStyle w:val="MdParagraph"/>
      </w:pPr>
      <w:r>
        <w:t xml:space="preserve">The backend is built using Java 21 and Spring Boot 3.3, integrating seamlessly into the existing </w:t>
      </w:r>
      <w:r>
        <w:rPr>
          <w:rStyle w:val="MdCode"/>
          <w:u w:val="single"/>
        </w:rPr>
        <w:t xml:space="preserve">aria/</w:t>
      </w:r>
      <w:r>
        <w:t xml:space="preserve"> module structure [1].</w:t>
      </w:r>
    </w:p>
    <w:p>
      <w:pPr>
        <w:pStyle w:val="MdSpace"/>
        <w:spacing w:before="0" w:after="60"/>
      </w:pPr>
    </w:p>
    <w:p>
      <w:pPr>
        <w:pStyle w:val="Heading3"/>
        <w:pStyle w:val="MdHeading3"/>
      </w:pPr>
      <w:r>
        <w:t xml:space="preserve">4.1. Key Services</w:t>
      </w:r>
    </w:p>
    <w:p>
      <w:pPr>
        <w:pStyle w:val="MdListItem"/>
        <w:numPr>
          <w:ilvl w:val="0"/>
          <w:numId w:val="2"/>
        </w:numPr>
      </w:pPr>
      <w:r>
        <w:rPr>
          <w:rStyle w:val="MdCode"/>
          <w:b/>
          <w:bCs/>
          <w:u w:val="single"/>
        </w:rPr>
        <w:t xml:space="preserve">AiUsageEventIngestionService</w:t>
      </w:r>
      <w:r>
        <w:t xml:space="preserve">: Validates and persists incoming usage events, publishing internal events for asynchronous processing.</w:t>
      </w:r>
    </w:p>
    <w:p>
      <w:pPr>
        <w:pStyle w:val="MdListItem"/>
        <w:numPr>
          <w:ilvl w:val="0"/>
          <w:numId w:val="2"/>
        </w:numPr>
      </w:pPr>
      <w:r>
        <w:rPr>
          <w:rStyle w:val="MdCode"/>
          <w:b/>
          <w:bCs/>
          <w:u w:val="single"/>
        </w:rPr>
        <w:t xml:space="preserve">CostAttributionService</w:t>
      </w:r>
      <w:r>
        <w:t xml:space="preserve">: The core engine that calculates and attributes costs. It uses proportional allocation logic (e.g., distributing total infrastructure costs based on individual request volume) to ensure fair and accurate chargebacks.</w:t>
      </w:r>
    </w:p>
    <w:p>
      <w:pPr>
        <w:pStyle w:val="MdListItem"/>
        <w:numPr>
          <w:ilvl w:val="0"/>
          <w:numId w:val="2"/>
        </w:numPr>
      </w:pPr>
      <w:r>
        <w:rPr>
          <w:rStyle w:val="MdCode"/>
          <w:b/>
          <w:bCs/>
          <w:u w:val="single"/>
        </w:rPr>
        <w:t xml:space="preserve">FinOpsReportingService</w:t>
      </w:r>
      <w:r>
        <w:t xml:space="preserve">: Aggregates cost data for the frontend, leveraging Redis caching for optimal performance.</w:t>
      </w:r>
    </w:p>
    <w:p>
      <w:pPr>
        <w:pStyle w:val="MdListItem"/>
        <w:numPr>
          <w:ilvl w:val="0"/>
          <w:numId w:val="2"/>
        </w:numPr>
      </w:pPr>
      <w:r>
        <w:rPr>
          <w:rStyle w:val="MdCode"/>
          <w:b/>
          <w:bCs/>
          <w:u w:val="single"/>
        </w:rPr>
        <w:t xml:space="preserve">OptimizationEngineService</w:t>
      </w:r>
      <w:r>
        <w:t xml:space="preserve">: Periodically evaluates aggregated data against predefined rules to identify inefficiencies and generate </w:t>
      </w:r>
      <w:r>
        <w:rPr>
          <w:rStyle w:val="MdCode"/>
          <w:u w:val="single"/>
        </w:rPr>
        <w:t xml:space="preserve">OptimizationRecommendation</w:t>
      </w:r>
      <w:r>
        <w:t xml:space="preserve"> records.</w:t>
      </w:r>
    </w:p>
    <w:p>
      <w:pPr>
        <w:pStyle w:val="MdListItem"/>
        <w:numPr>
          <w:ilvl w:val="0"/>
          <w:numId w:val="2"/>
        </w:numPr>
      </w:pPr>
      <w:r>
        <w:rPr>
          <w:rStyle w:val="MdCode"/>
          <w:b/>
          <w:bCs/>
          <w:u w:val="single"/>
        </w:rPr>
        <w:t xml:space="preserve">DataLoaderService</w:t>
      </w:r>
      <w:r>
        <w:rPr>
          <w:rStyle w:val="MdStrong"/>
          <w:b/>
          <w:bCs/>
        </w:rPr>
        <w:t xml:space="preserve"> (Demo Specific)</w:t>
      </w:r>
      <w:r>
        <w:t xml:space="preserve">: Generates realistic mock data, including varied usage patterns, cost spikes, and crucial "Before vs. After" scenarios to populate the demo environment.</w:t>
      </w:r>
    </w:p>
    <w:p>
      <w:pPr>
        <w:pStyle w:val="MdSpace"/>
        <w:spacing w:before="0" w:after="60"/>
      </w:pPr>
    </w:p>
    <w:p>
      <w:pPr>
        <w:pStyle w:val="Heading3"/>
        <w:pStyle w:val="MdHeading3"/>
      </w:pPr>
      <w:r>
        <w:t xml:space="preserve">4.2. Optimization Rules</w:t>
      </w:r>
    </w:p>
    <w:p>
      <w:pPr>
        <w:pStyle w:val="MdParagraph"/>
      </w:pPr>
      <w:r>
        <w:t xml:space="preserve">The Optimization Engine relies on deterministic, rule-based logic for high confidence:</w:t>
      </w:r>
    </w:p>
    <w:p>
      <w:pPr>
        <w:pStyle w:val="MdSpace"/>
        <w:spacing w:before="0" w:after="60"/>
      </w:pPr>
    </w:p>
    <w:p>
      <w:pPr>
        <w:pStyle w:val="MdListItem"/>
        <w:numPr>
          <w:ilvl w:val="0"/>
          <w:numId w:val="3"/>
        </w:numPr>
      </w:pPr>
      <w:r>
        <w:rPr>
          <w:rStyle w:val="MdStrong"/>
          <w:b/>
          <w:bCs/>
        </w:rPr>
        <w:t xml:space="preserve">Right-Sizing Compute</w:t>
      </w:r>
      <w:r>
        <w:t xml:space="preserve">: Recommends downsizing if average utilization is consistently low.</w:t>
      </w:r>
    </w:p>
    <w:p>
      <w:pPr>
        <w:pStyle w:val="MdListItem"/>
        <w:numPr>
          <w:ilvl w:val="0"/>
          <w:numId w:val="3"/>
        </w:numPr>
      </w:pPr>
      <w:r>
        <w:rPr>
          <w:rStyle w:val="MdStrong"/>
          <w:b/>
          <w:bCs/>
        </w:rPr>
        <w:t xml:space="preserve">Smart Trace Sampling</w:t>
      </w:r>
      <w:r>
        <w:t xml:space="preserve">: Suggests reducing trace volume in non-production environments.</w:t>
      </w:r>
    </w:p>
    <w:p>
      <w:pPr>
        <w:pStyle w:val="MdListItem"/>
        <w:numPr>
          <w:ilvl w:val="0"/>
          <w:numId w:val="3"/>
        </w:numPr>
      </w:pPr>
      <w:r>
        <w:rPr>
          <w:rStyle w:val="MdStrong"/>
          <w:b/>
          <w:bCs/>
        </w:rPr>
        <w:t xml:space="preserve">Model Routing Optimization</w:t>
      </w:r>
      <w:r>
        <w:t xml:space="preserve">: Recommends routing simple, low-token queries to faster, cheaper models (e.g., switching from a premium model to Haiku).</w:t>
      </w:r>
    </w:p>
    <w:p>
      <w:pPr>
        <w:pStyle w:val="MdListItem"/>
        <w:numPr>
          <w:ilvl w:val="0"/>
          <w:numId w:val="3"/>
        </w:numPr>
      </w:pPr>
      <w:r>
        <w:rPr>
          <w:rStyle w:val="MdStrong"/>
          <w:b/>
          <w:bCs/>
        </w:rPr>
        <w:t xml:space="preserve">Selective Evaluations</w:t>
      </w:r>
      <w:r>
        <w:t xml:space="preserve">: Suggests reducing governance overhead for low-risk, repetitive tasks.</w:t>
      </w:r>
    </w:p>
    <w:p>
      <w:pPr>
        <w:pStyle w:val="MdSpace"/>
        <w:spacing w:before="0" w:after="60"/>
      </w:pPr>
    </w:p>
    <w:p>
      <w:pPr>
        <w:pStyle w:val="Heading2"/>
        <w:pStyle w:val="MdHeading2"/>
      </w:pPr>
      <w:r>
        <w:t xml:space="preserve">5. React.js Frontend Design</w:t>
      </w:r>
    </w:p>
    <w:p>
      <w:pPr>
        <w:pStyle w:val="MdParagraph"/>
      </w:pPr>
      <w:r>
        <w:t xml:space="preserve">The frontend, built with React 18, TypeScript, and Tailwind CSS, provides an intuitive and interactive experience, adhering to ARIA's dark theme and enterprise aesthetic.</w:t>
      </w:r>
    </w:p>
    <w:p>
      <w:pPr>
        <w:pStyle w:val="MdSpace"/>
        <w:spacing w:before="0" w:after="60"/>
      </w:pPr>
    </w:p>
    <w:p>
      <w:pPr>
        <w:pStyle w:val="Heading3"/>
        <w:pStyle w:val="MdHeading3"/>
      </w:pPr>
      <w:r>
        <w:t xml:space="preserve">5.1. Executive FinOps Dashboard</w:t>
      </w:r>
    </w:p>
    <w:p>
      <w:pPr>
        <w:pStyle w:val="MdParagraph"/>
      </w:pPr>
      <w:r>
        <w:t xml:space="preserve">Designed for high-level oversight, this dashboard features:</w:t>
      </w:r>
    </w:p>
    <w:p>
      <w:pPr>
        <w:pStyle w:val="MdSpace"/>
        <w:spacing w:before="0" w:after="60"/>
      </w:pPr>
    </w:p>
    <w:p>
      <w:pPr>
        <w:pStyle w:val="MdListItem"/>
        <w:numPr>
          <w:ilvl w:val="0"/>
          <w:numId w:val="2"/>
        </w:numPr>
      </w:pPr>
      <w:r>
        <w:rPr>
          <w:rStyle w:val="MdStrong"/>
          <w:b/>
          <w:bCs/>
        </w:rPr>
        <w:t xml:space="preserve">Metric Cards</w:t>
      </w:r>
      <w:r>
        <w:t xml:space="preserve">: Displaying Total AI Spend, Projected Annual Spend, and Total Savings Identified.</w:t>
      </w:r>
    </w:p>
    <w:p>
      <w:pPr>
        <w:pStyle w:val="MdListItem"/>
        <w:numPr>
          <w:ilvl w:val="0"/>
          <w:numId w:val="2"/>
        </w:numPr>
      </w:pPr>
      <w:r>
        <w:rPr>
          <w:rStyle w:val="MdStrong"/>
          <w:b/>
          <w:bCs/>
        </w:rPr>
        <w:t xml:space="preserve">Cost Waterfall Chart</w:t>
      </w:r>
      <w:r>
        <w:t xml:space="preserve">: Visualizing the breakdown of Total Cost into its constituent buckets (Model, Infra, Observability, etc.).</w:t>
      </w:r>
    </w:p>
    <w:p>
      <w:pPr>
        <w:pStyle w:val="MdListItem"/>
        <w:numPr>
          <w:ilvl w:val="0"/>
          <w:numId w:val="2"/>
        </w:numPr>
      </w:pPr>
      <w:r>
        <w:rPr>
          <w:rStyle w:val="MdStrong"/>
          <w:b/>
          <w:bCs/>
        </w:rPr>
        <w:t xml:space="preserve">Spend by LOB</w:t>
      </w:r>
      <w:r>
        <w:t xml:space="preserve">: A bar chart highlighting cost drivers across different business units.</w:t>
      </w:r>
    </w:p>
    <w:p>
      <w:pPr>
        <w:pStyle w:val="MdSpace"/>
        <w:spacing w:before="0" w:after="60"/>
      </w:pPr>
    </w:p>
    <w:p>
      <w:pPr>
        <w:pStyle w:val="Heading3"/>
        <w:pStyle w:val="MdHeading3"/>
      </w:pPr>
      <w:r>
        <w:t xml:space="preserve">5.2. Cost Intelligence Dashboard</w:t>
      </w:r>
    </w:p>
    <w:p>
      <w:pPr>
        <w:pStyle w:val="MdParagraph"/>
      </w:pPr>
      <w:r>
        <w:t xml:space="preserve">Designed for granular analysis and action, this dashboard features:</w:t>
      </w:r>
    </w:p>
    <w:p>
      <w:pPr>
        <w:pStyle w:val="MdSpace"/>
        <w:spacing w:before="0" w:after="60"/>
      </w:pPr>
    </w:p>
    <w:p>
      <w:pPr>
        <w:pStyle w:val="MdListItem"/>
        <w:numPr>
          <w:ilvl w:val="0"/>
          <w:numId w:val="2"/>
        </w:numPr>
      </w:pPr>
      <w:r>
        <w:rPr>
          <w:rStyle w:val="MdStrong"/>
          <w:b/>
          <w:bCs/>
        </w:rPr>
        <w:t xml:space="preserve">Cost Attribution Tree</w:t>
      </w:r>
      <w:r>
        <w:t xml:space="preserve">: An interactive visualization allowing users to drill down from Organization to LOB, Project, User, and Model.</w:t>
      </w:r>
    </w:p>
    <w:p>
      <w:pPr>
        <w:pStyle w:val="MdListItem"/>
        <w:numPr>
          <w:ilvl w:val="0"/>
          <w:numId w:val="2"/>
        </w:numPr>
      </w:pPr>
      <w:r>
        <w:rPr>
          <w:rStyle w:val="MdStrong"/>
          <w:b/>
          <w:bCs/>
        </w:rPr>
        <w:t xml:space="preserve">Before vs. After Comparison Chart</w:t>
      </w:r>
      <w:r>
        <w:t xml:space="preserve">: A clear visual demonstration of current costs versus projected costs after applying ARIA's recommendations.</w:t>
      </w:r>
    </w:p>
    <w:p>
      <w:pPr>
        <w:pStyle w:val="MdListItem"/>
        <w:numPr>
          <w:ilvl w:val="0"/>
          <w:numId w:val="2"/>
        </w:numPr>
      </w:pPr>
      <w:r>
        <w:rPr>
          <w:rStyle w:val="MdStrong"/>
          <w:b/>
          <w:bCs/>
        </w:rPr>
        <w:t xml:space="preserve">Optimization Recommendations Panel</w:t>
      </w:r>
      <w:r>
        <w:t xml:space="preserve">: A prioritized list of actionable insights with one-click "Apply" functionality.</w:t>
      </w:r>
    </w:p>
    <w:p>
      <w:pPr>
        <w:pStyle w:val="MdListItem"/>
        <w:numPr>
          <w:ilvl w:val="0"/>
          <w:numId w:val="2"/>
        </w:numPr>
      </w:pPr>
      <w:r>
        <w:rPr>
          <w:rStyle w:val="MdStrong"/>
          <w:b/>
          <w:bCs/>
        </w:rPr>
        <w:t xml:space="preserve">What-If Simulator</w:t>
      </w:r>
      <w:r>
        <w:t xml:space="preserve">: Interactive sliders (e.g., RPM, Trace Retention) that dynamically update projected costs and savings.</w:t>
      </w:r>
    </w:p>
    <w:p>
      <w:pPr>
        <w:pStyle w:val="MdSpace"/>
        <w:spacing w:before="0" w:after="60"/>
      </w:pPr>
    </w:p>
    <w:p>
      <w:pPr>
        <w:pStyle w:val="Heading2"/>
        <w:pStyle w:val="MdHeading2"/>
      </w:pPr>
      <w:r>
        <w:t xml:space="preserve">6. Integration and Testing Strategy</w:t>
      </w:r>
    </w:p>
    <w:p>
      <w:pPr>
        <w:pStyle w:val="MdListItem"/>
        <w:numPr>
          <w:ilvl w:val="0"/>
          <w:numId w:val="2"/>
        </w:numPr>
      </w:pPr>
      <w:r>
        <w:rPr>
          <w:rStyle w:val="MdStrong"/>
          <w:b/>
          <w:bCs/>
        </w:rPr>
        <w:t xml:space="preserve">Communication</w:t>
      </w:r>
      <w:r>
        <w:t xml:space="preserve">: The frontend communicates with the backend via REST APIs, secured by JWT tokens.</w:t>
      </w:r>
    </w:p>
    <w:p>
      <w:pPr>
        <w:pStyle w:val="MdListItem"/>
        <w:numPr>
          <w:ilvl w:val="0"/>
          <w:numId w:val="2"/>
        </w:numPr>
      </w:pPr>
      <w:r>
        <w:rPr>
          <w:rStyle w:val="MdStrong"/>
          <w:b/>
          <w:bCs/>
        </w:rPr>
        <w:t xml:space="preserve">Data Simulation</w:t>
      </w:r>
      <w:r>
        <w:t xml:space="preserve">: The </w:t>
      </w:r>
      <w:r>
        <w:rPr>
          <w:rStyle w:val="MdCode"/>
          <w:u w:val="single"/>
        </w:rPr>
        <w:t xml:space="preserve">DataLoaderService</w:t>
      </w:r>
      <w:r>
        <w:t xml:space="preserve"> generates comprehensive mock data, ensuring a variety of dimensions, temporal distribution, and clear "Before vs. After" scenarios to effectively demonstrate the platform's value.</w:t>
      </w:r>
    </w:p>
    <w:p>
      <w:pPr>
        <w:pStyle w:val="MdListItem"/>
        <w:numPr>
          <w:ilvl w:val="0"/>
          <w:numId w:val="2"/>
        </w:numPr>
      </w:pPr>
      <w:r>
        <w:rPr>
          <w:rStyle w:val="MdStrong"/>
          <w:b/>
          <w:bCs/>
        </w:rPr>
        <w:t xml:space="preserve">Testing</w:t>
      </w:r>
      <w:r>
        <w:t xml:space="preserve">: A robust testing strategy includes unit tests (JUnit, Jest), integration tests (Spring Boot), and end-to-end tests (Cypress/Playwright) to verify dashboard loading, filtering, drill-down functionality, and the complete optimization workflow.</w:t>
      </w:r>
    </w:p>
    <w:p>
      <w:pPr>
        <w:pStyle w:val="MdSpace"/>
        <w:spacing w:before="0" w:after="60"/>
      </w:pPr>
    </w:p>
    <w:p>
      <w:pPr>
        <w:pStyle w:val="Heading2"/>
        <w:pStyle w:val="MdHeading2"/>
      </w:pPr>
      <w:r>
        <w:t xml:space="preserve">7. Conclusion</w:t>
      </w:r>
    </w:p>
    <w:p>
      <w:pPr>
        <w:pStyle w:val="MdParagraph"/>
      </w:pPr>
      <w:r>
        <w:t xml:space="preserve">This blueprint provides a comprehensive guide for building the ARIA FinOps demo. By combining a robust Spring Boot backend for complex cost attribution and optimization with a dynamic React.js frontend for intuitive visualization, the demo will effectively showcase ARIA's capability to manage and optimize enterprise AI costs.</w:t>
      </w:r>
    </w:p>
    <w:p>
      <w:pPr>
        <w:pStyle w:val="MdSpace"/>
        <w:spacing w:before="0" w:after="60"/>
      </w:pPr>
    </w:p>
    <w:p>
      <w:pPr>
        <w:pStyle w:val="Heading2"/>
        <w:pStyle w:val="MdHeading2"/>
      </w:pPr>
      <w:r>
        <w:t xml:space="preserve">References</w:t>
      </w:r>
    </w:p>
    <w:p>
      <w:pPr>
        <w:pStyle w:val="MdParagraph"/>
      </w:pPr>
      <w:r>
        <w:t xml:space="preserve">[1] </w:t>
      </w:r>
      <w:hyperlink w:history="1" r:id="rIdkckcmtthoec_nmgzzj_7m">
        <w:r>
          <w:rPr>
            <w:rStyle w:val="MdLink"/>
          </w:rPr>
          <w:t xml:space="preserve">Aria-Product-Specification.docx</w:t>
        </w:r>
      </w:hyperlink>
      <w:r>
        <w:t xml:space="preserve"> - ARIA Agentic Reasoning &amp; Intelligence Assistant End-to-End Product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ckcmtthoec_nmgzzj_7m" Type="http://schemas.openxmlformats.org/officeDocument/2006/relationships/hyperlink" Target="/home/ubuntu/upload/Aria-Product-Specification.docx"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2026-06-03T12:50:34.936Z</dcterms:created>
  <dcterms:modified xsi:type="dcterms:W3CDTF">2026-06-03T12:50:34.936Z</dcterms:modified>
</cp:coreProperties>
</file>

<file path=docProps/custom.xml><?xml version="1.0" encoding="utf-8"?>
<Properties xmlns="http://schemas.openxmlformats.org/officeDocument/2006/custom-properties" xmlns:vt="http://schemas.openxmlformats.org/officeDocument/2006/docPropsVTypes"/>
</file>