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4"/>
          <w:szCs w:val="44"/>
        </w:rPr>
        <w:t xml:space="preserve">ARIA</w:t>
      </w:r>
    </w:p>
    <w:p>
      <w:pPr>
        <w:spacing w:after="40"/>
      </w:pPr>
      <w:r>
        <w:rPr>
          <w:sz w:val="30"/>
          <w:szCs w:val="30"/>
        </w:rPr>
        <w:t xml:space="preserve">Cost Intelligence Platform — Addendum</w:t>
      </w:r>
    </w:p>
    <w:p>
      <w:pPr>
        <w:spacing w:after="200"/>
      </w:pPr>
      <w:r>
        <w:rPr>
          <w:i/>
          <w:iCs/>
          <w:sz w:val="26"/>
          <w:szCs w:val="26"/>
        </w:rPr>
        <w:t xml:space="preserve">Phase 11–12: MCP Call Attribution &amp; Lightweight Asset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200"/>
              <w:bottom w:type="dxa" w:w="160"/>
              <w:right w:type="dxa" w:w="200"/>
            </w:tcMar>
          </w:tcPr>
          <w:p>
            <w:pPr>
              <w:spacing w:after="80"/>
            </w:pPr>
            <w:r>
              <w:rPr>
                <w:b/>
                <w:bCs/>
              </w:rPr>
              <w:t xml:space="preserve">Document Status</w:t>
            </w:r>
          </w:p>
          <w:p>
            <w:r>
              <w:t xml:space="preserve">Addendum to ARIA_Cost_Intelligence_Implementation_Guide.docx (v1.0, May 2026). Extends Phases 1–10 with two new phases and formalizes existing scope boundaries. For implementing Claude model / Copilot use. Version 1.0 — Draft, pending confirmation of two open items listed in Section 6.</w:t>
            </w:r>
          </w:p>
        </w:tc>
      </w:tr>
    </w:tbl>
    <w:p>
      <w:pPr>
        <w:spacing w:after="120"/>
      </w:pPr>
    </w:p>
    <w:p>
      <w:pPr>
        <w:pStyle w:val="Heading1"/>
        <w:spacing w:after="160" w:before="360"/>
      </w:pPr>
      <w:r>
        <w:t xml:space="preserve">1. Why This Document Exists</w:t>
      </w:r>
    </w:p>
    <w:p>
      <w:pPr>
        <w:spacing w:after="140"/>
      </w:pPr>
      <w:r>
        <w:t xml:space="preserve">A gap review compared ARIA against a third-party AI agent management/gateway product. That product covers a broader surface than ARIA by design — it is a gateway platform (LLM + MCP + agent-to-agent traffic, identity, protocol-level policy enforcement), where ARIA is a cost-intelligence tool that instruments the Anthropic LLM call boundary. Most of that broader surface is intentionally out of scope for ARIA and is formalized as such in Section 6.</w:t>
      </w:r>
    </w:p>
    <w:p>
      <w:pPr>
        <w:spacing w:after="140"/>
      </w:pPr>
      <w:r>
        <w:t xml:space="preserve">Two gaps were judged to be genuinely inside ARIA's lane and worth building: attributing cost/usage to MCP tool calls (not just LLM calls), and giving the existing call and trust data a lightweight catalog of named entities to attach to, instead of raw string IDs. This document specifies both as behavioral requirements — no code is included. The implementing Copilot session owns all code generation, data model syntax, and framework-specific wiring.</w:t>
      </w:r>
    </w:p>
    <w:p>
      <w:pPr>
        <w:spacing w:after="120"/>
      </w:pPr>
    </w:p>
    <w:p>
      <w:pPr>
        <w:pStyle w:val="Heading1"/>
        <w:spacing w:after="160" w:before="360"/>
      </w:pPr>
      <w:r>
        <w:t xml:space="preserve">2. Ground Rules for This Addendum</w:t>
      </w:r>
    </w:p>
    <w:p>
      <w:pPr>
        <w:pStyle w:val="ListParagraph"/>
        <w:numPr>
          <w:ilvl w:val="0"/>
          <w:numId w:val="2"/>
        </w:numPr>
        <w:spacing w:after="80"/>
      </w:pPr>
      <w:r>
        <w:t xml:space="preserve">Provider-agnostic by design. Nothing in this document may hardcode assumptions specific to the Anthropic API beyond what Phases 1–10 already establish. Where a requirement references “the LLM boundary,” it means whatever interceptor mechanism Phases 1–10 already use, not a new provider-specific dependency.</w:t>
      </w:r>
    </w:p>
    <w:p>
      <w:pPr>
        <w:pStyle w:val="ListParagraph"/>
        <w:numPr>
          <w:ilvl w:val="0"/>
          <w:numId w:val="2"/>
        </w:numPr>
        <w:spacing w:after="80"/>
      </w:pPr>
      <w:r>
        <w:t xml:space="preserve">Flag rather than invent. Where a requirement below depends on a fact about the current ACES/ARIA codebase that this document cannot verify (e.g., whether MCP calls already funnel through one client), the implementing session must inspect the codebase, state what it found, and stop to flag a decision point rather than guessing or inventing an abstraction that may not match reality.</w:t>
      </w:r>
    </w:p>
    <w:p>
      <w:pPr>
        <w:pStyle w:val="ListParagraph"/>
        <w:numPr>
          <w:ilvl w:val="0"/>
          <w:numId w:val="2"/>
        </w:numPr>
        <w:spacing w:after="80"/>
      </w:pPr>
      <w:r>
        <w:t xml:space="preserve">No invented cost figures. Any dollar or token-cost value introduced by this addendum must either derive from a real, documented formula (matching the discipline already used for AriaModelPricing) or be left null/pending with that status made explicit in the UI and API response. Do not backfill a plausible-looking placeholder number.</w:t>
      </w:r>
    </w:p>
    <w:p>
      <w:pPr>
        <w:pStyle w:val="ListParagraph"/>
        <w:numPr>
          <w:ilvl w:val="0"/>
          <w:numId w:val="2"/>
        </w:numPr>
        <w:spacing w:after="80"/>
      </w:pPr>
      <w:r>
        <w:t xml:space="preserve">Non-blocking by default. Any new capture mechanism follows the same async, off-the-critical-path pattern already established for the Phase 2 proxy interceptor.</w:t>
      </w:r>
    </w:p>
    <w:p>
      <w:pPr>
        <w:pStyle w:val="ListParagraph"/>
        <w:numPr>
          <w:ilvl w:val="0"/>
          <w:numId w:val="2"/>
        </w:numPr>
        <w:spacing w:after="80"/>
      </w:pPr>
      <w:r>
        <w:t xml:space="preserve">Extend, don't fork. Prefer extending existing tables, endpoints, and dashboard tabs described in the original Implementation Guide over creating parallel structures, unless a requirement below explicitly calls for a new table/endpoint/tab.</w:t>
      </w:r>
    </w:p>
    <w:p>
      <w:pPr>
        <w:spacing w:after="120"/>
      </w:pPr>
    </w:p>
    <w:p>
      <w:pPr>
        <w:pStyle w:val="Heading1"/>
        <w:spacing w:after="160" w:before="360"/>
      </w:pPr>
      <w:r>
        <w:t xml:space="preserve">3. Phase 11 — MCP Tool-Call Attribution</w:t>
      </w:r>
    </w:p>
    <w:p>
      <w:pPr>
        <w:spacing w:after="140"/>
      </w:pPr>
      <w:r>
        <w:t xml:space="preserve">Purpose: extend cost/usage attribution to outbound MCP tool calls, the same way Phase 2 extended it to outbound LLM calls. This is an attribution and visibility feature, not an access-control feature — see the non-goals at the end of this section.</w:t>
      </w:r>
    </w:p>
    <w:p>
      <w:pPr>
        <w:pStyle w:val="Heading2"/>
        <w:spacing w:after="120" w:before="280"/>
      </w:pPr>
      <w:r>
        <w:t xml:space="preserve">3.1 Behavioral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1F2937" w:val="clear"/>
            <w:tcMar>
              <w:top w:type="dxa" w:w="100"/>
              <w:left w:type="dxa" w:w="120"/>
              <w:bottom w:type="dxa" w:w="100"/>
              <w:right w:type="dxa" w:w="120"/>
            </w:tcMar>
          </w:tcPr>
          <w:p>
            <w:r>
              <w:rPr>
                <w:b/>
                <w:bCs/>
                <w:color w:val="FFFFFF"/>
              </w:rPr>
              <w:t xml:space="preserve">ID</w:t>
            </w:r>
          </w:p>
        </w:tc>
        <w:tc>
          <w:tcPr>
            <w:tcW w:type="dxa" w:w="7860"/>
            <w:shd w:fill="1F2937" w:val="clear"/>
            <w:tcMar>
              <w:top w:type="dxa" w:w="100"/>
              <w:left w:type="dxa" w:w="120"/>
              <w:bottom w:type="dxa" w:w="100"/>
              <w:right w:type="dxa" w:w="120"/>
            </w:tcMar>
          </w:tcPr>
          <w:p>
            <w:r>
              <w:rPr>
                <w:b/>
                <w:bCs/>
                <w:color w:val="FFFFFF"/>
              </w:rPr>
              <w:t xml:space="preserve">Requirement</w:t>
            </w:r>
          </w:p>
        </w:tc>
      </w:tr>
      <w:tr>
        <w:tc>
          <w:tcPr>
            <w:tcW w:type="dxa" w:w="1500"/>
            <w:tcMar>
              <w:top w:type="dxa" w:w="90"/>
              <w:left w:type="dxa" w:w="120"/>
              <w:bottom w:type="dxa" w:w="90"/>
              <w:right w:type="dxa" w:w="120"/>
            </w:tcMar>
          </w:tcPr>
          <w:p>
            <w:r>
              <w:t xml:space="preserve">BR-11.1</w:t>
            </w:r>
          </w:p>
        </w:tc>
        <w:tc>
          <w:tcPr>
            <w:tcW w:type="dxa" w:w="7860"/>
            <w:tcMar>
              <w:top w:type="dxa" w:w="90"/>
              <w:left w:type="dxa" w:w="120"/>
              <w:bottom w:type="dxa" w:w="90"/>
              <w:right w:type="dxa" w:w="120"/>
            </w:tcMar>
          </w:tcPr>
          <w:p>
            <w:r>
              <w:t xml:space="preserve">Every outbound MCP tool call made by ARIA/ACES must be captured using the same non-blocking, asynchronous pattern already used for the Anthropic API boundary (Phase 2).</w:t>
            </w:r>
          </w:p>
        </w:tc>
      </w:tr>
      <w:tr>
        <w:tc>
          <w:tcPr>
            <w:tcW w:type="dxa" w:w="1500"/>
            <w:tcMar>
              <w:top w:type="dxa" w:w="90"/>
              <w:left w:type="dxa" w:w="120"/>
              <w:bottom w:type="dxa" w:w="90"/>
              <w:right w:type="dxa" w:w="120"/>
            </w:tcMar>
          </w:tcPr>
          <w:p>
            <w:r>
              <w:t xml:space="preserve">BR-11.2</w:t>
            </w:r>
          </w:p>
        </w:tc>
        <w:tc>
          <w:tcPr>
            <w:tcW w:type="dxa" w:w="7860"/>
            <w:tcMar>
              <w:top w:type="dxa" w:w="90"/>
              <w:left w:type="dxa" w:w="120"/>
              <w:bottom w:type="dxa" w:w="90"/>
              <w:right w:type="dxa" w:w="120"/>
            </w:tcMar>
          </w:tcPr>
          <w:p>
            <w:r>
              <w:t xml:space="preserve">Capture must happen at the single chokepoint through which all outbound MCP requests pass — the MCP equivalent of the WebClient bean interception used for the LLM boundary. If the current codebase does not yet centralize MCP calls through one client/service, flag this as a precondition and stop; do not add interception logic in multiple call sites.</w:t>
            </w:r>
          </w:p>
        </w:tc>
      </w:tr>
      <w:tr>
        <w:tc>
          <w:tcPr>
            <w:tcW w:type="dxa" w:w="1500"/>
            <w:tcMar>
              <w:top w:type="dxa" w:w="90"/>
              <w:left w:type="dxa" w:w="120"/>
              <w:bottom w:type="dxa" w:w="90"/>
              <w:right w:type="dxa" w:w="120"/>
            </w:tcMar>
          </w:tcPr>
          <w:p>
            <w:r>
              <w:t xml:space="preserve">BR-11.3</w:t>
            </w:r>
          </w:p>
        </w:tc>
        <w:tc>
          <w:tcPr>
            <w:tcW w:type="dxa" w:w="7860"/>
            <w:tcMar>
              <w:top w:type="dxa" w:w="90"/>
              <w:left w:type="dxa" w:w="120"/>
              <w:bottom w:type="dxa" w:w="90"/>
              <w:right w:type="dxa" w:w="120"/>
            </w:tcMar>
          </w:tcPr>
          <w:p>
            <w:r>
              <w:t xml:space="preserve">Captured fields, at minimum: sessionId, featureId, userId, departmentId, mcpServerName, mcpMethod, toolName, requestSizeBytes, responseSizeBytes, latencyMs, success (boolean), errorCode (nullable), errorMessage (nullable), capturedAt.</w:t>
            </w:r>
          </w:p>
        </w:tc>
      </w:tr>
      <w:tr>
        <w:tc>
          <w:tcPr>
            <w:tcW w:type="dxa" w:w="1500"/>
            <w:tcMar>
              <w:top w:type="dxa" w:w="90"/>
              <w:left w:type="dxa" w:w="120"/>
              <w:bottom w:type="dxa" w:w="90"/>
              <w:right w:type="dxa" w:w="120"/>
            </w:tcMar>
          </w:tcPr>
          <w:p>
            <w:r>
              <w:t xml:space="preserve">BR-11.4</w:t>
            </w:r>
          </w:p>
        </w:tc>
        <w:tc>
          <w:tcPr>
            <w:tcW w:type="dxa" w:w="7860"/>
            <w:tcMar>
              <w:top w:type="dxa" w:w="90"/>
              <w:left w:type="dxa" w:w="120"/>
              <w:bottom w:type="dxa" w:w="90"/>
              <w:right w:type="dxa" w:w="120"/>
            </w:tcMar>
          </w:tcPr>
          <w:p>
            <w:r>
              <w:t xml:space="preserve">Cost attribution rule: if an MCP tool call triggers a downstream LLM call, that downstream call is already captured by the existing Phase 2 interceptor and must be linked back to this MCP call record via a shared correlation identifier — not recorded as a second, separate cost line. If a tool call carries no LLM cost (pure API/DB/compute), leave cost fields null rather than estimating a figure, unless an existing, real internal cost model already covers that resource.</w:t>
            </w:r>
          </w:p>
        </w:tc>
      </w:tr>
      <w:tr>
        <w:tc>
          <w:tcPr>
            <w:tcW w:type="dxa" w:w="1500"/>
            <w:tcMar>
              <w:top w:type="dxa" w:w="90"/>
              <w:left w:type="dxa" w:w="120"/>
              <w:bottom w:type="dxa" w:w="90"/>
              <w:right w:type="dxa" w:w="120"/>
            </w:tcMar>
          </w:tcPr>
          <w:p>
            <w:r>
              <w:t xml:space="preserve">BR-11.5</w:t>
            </w:r>
          </w:p>
        </w:tc>
        <w:tc>
          <w:tcPr>
            <w:tcW w:type="dxa" w:w="7860"/>
            <w:tcMar>
              <w:top w:type="dxa" w:w="90"/>
              <w:left w:type="dxa" w:w="120"/>
              <w:bottom w:type="dxa" w:w="90"/>
              <w:right w:type="dxa" w:w="120"/>
            </w:tcMar>
          </w:tcPr>
          <w:p>
            <w:r>
              <w:t xml:space="preserve">Store MCP call records in a new table, separate from aria_call_records, to avoid adding a large block of MCP-only nullable columns to the LLM-specific schema. Apply the same indexing pattern used in the Phase 3 schema (session, feature, date).</w:t>
            </w:r>
          </w:p>
        </w:tc>
      </w:tr>
      <w:tr>
        <w:tc>
          <w:tcPr>
            <w:tcW w:type="dxa" w:w="1500"/>
            <w:tcMar>
              <w:top w:type="dxa" w:w="90"/>
              <w:left w:type="dxa" w:w="120"/>
              <w:bottom w:type="dxa" w:w="90"/>
              <w:right w:type="dxa" w:w="120"/>
            </w:tcMar>
          </w:tcPr>
          <w:p>
            <w:r>
              <w:t xml:space="preserve">BR-11.6</w:t>
            </w:r>
          </w:p>
        </w:tc>
        <w:tc>
          <w:tcPr>
            <w:tcW w:type="dxa" w:w="7860"/>
            <w:tcMar>
              <w:top w:type="dxa" w:w="90"/>
              <w:left w:type="dxa" w:w="120"/>
              <w:bottom w:type="dxa" w:w="90"/>
              <w:right w:type="dxa" w:w="120"/>
            </w:tcMar>
          </w:tcPr>
          <w:p>
            <w:r>
              <w:t xml:space="preserve">Expose a REST read path for MCP cost/usage data that mirrors the existing GET /api/aria/cost/tools pattern. The implementing session may either add a new endpoint or extend the existing one — either is acceptable, but the choice and reasoning must be stated explicitly, not made silently.</w:t>
            </w:r>
          </w:p>
        </w:tc>
      </w:tr>
      <w:tr>
        <w:tc>
          <w:tcPr>
            <w:tcW w:type="dxa" w:w="1500"/>
            <w:tcMar>
              <w:top w:type="dxa" w:w="90"/>
              <w:left w:type="dxa" w:w="120"/>
              <w:bottom w:type="dxa" w:w="90"/>
              <w:right w:type="dxa" w:w="120"/>
            </w:tcMar>
          </w:tcPr>
          <w:p>
            <w:r>
              <w:t xml:space="preserve">BR-11.7</w:t>
            </w:r>
          </w:p>
        </w:tc>
        <w:tc>
          <w:tcPr>
            <w:tcW w:type="dxa" w:w="7860"/>
            <w:tcMar>
              <w:top w:type="dxa" w:w="90"/>
              <w:left w:type="dxa" w:w="120"/>
              <w:bottom w:type="dxa" w:w="90"/>
              <w:right w:type="dxa" w:w="120"/>
            </w:tcMar>
          </w:tcPr>
          <w:p>
            <w:r>
              <w:t xml:space="preserve">Surface MCP call data in the existing “Sessions &amp; Tools” dashboard tab. Only introduce a new dashboard tab if the existing tab genuinely cannot hold the additional data without becoming unreadable — flag that judgment rather than defaulting to a new tab.</w:t>
            </w:r>
          </w:p>
        </w:tc>
      </w:tr>
    </w:tbl>
    <w:p>
      <w:pPr>
        <w:spacing w:after="120"/>
      </w:pPr>
    </w:p>
    <w:p>
      <w:pPr>
        <w:pStyle w:val="Heading2"/>
        <w:spacing w:after="120" w:before="280"/>
      </w:pPr>
      <w:r>
        <w:t xml:space="preserve">3.2 Non-Goals for Phase 11</w:t>
      </w:r>
    </w:p>
    <w:p>
      <w:pPr>
        <w:spacing w:after="140"/>
      </w:pPr>
      <w:r>
        <w:t xml:space="preserve">This phase does not implement: method-level access control lists, per-tool authorization decisions, or protocol translation/mediation. ARIA records what happened for cost and visibility purposes; it does not decide what is allowed to happen. Enforcement remains the responsibility of whatever gateway or platform layer already governs MCP traffic at JPMC — see Section 6.</w:t>
      </w:r>
    </w:p>
    <w:p>
      <w:pPr>
        <w:spacing w:after="120"/>
      </w:pPr>
    </w:p>
    <w:p>
      <w:pPr>
        <w:pStyle w:val="Heading1"/>
        <w:spacing w:after="160" w:before="360"/>
      </w:pPr>
      <w:r>
        <w:t xml:space="preserve">4. Phase 12 — Lightweight Asset Catalog</w:t>
      </w:r>
    </w:p>
    <w:p>
      <w:pPr>
        <w:spacing w:after="140"/>
      </w:pPr>
      <w:r>
        <w:t xml:space="preserve">Purpose: give the models, tools, and agents that ARIA already tracks by raw ID a named, described catalog entry, so cost and trust data can be attributed to something legible instead of a string. This catalog is inventory and attribution metadata only.</w:t>
      </w:r>
    </w:p>
    <w:p>
      <w:pPr>
        <w:pStyle w:val="Heading2"/>
        <w:spacing w:after="120" w:before="280"/>
      </w:pPr>
      <w:r>
        <w:t xml:space="preserve">4.1 Catalog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00"/>
        <w:gridCol w:w="2660"/>
      </w:tblGrid>
      <w:tr>
        <w:trPr>
          <w:tblHeader/>
        </w:trPr>
        <w:tc>
          <w:tcPr>
            <w:tcW w:type="dxa" w:w="1400"/>
            <w:shd w:fill="1F2937" w:val="clear"/>
            <w:tcMar>
              <w:top w:type="dxa" w:w="100"/>
              <w:left w:type="dxa" w:w="120"/>
              <w:bottom w:type="dxa" w:w="100"/>
              <w:right w:type="dxa" w:w="120"/>
            </w:tcMar>
          </w:tcPr>
          <w:p>
            <w:r>
              <w:rPr>
                <w:b/>
                <w:bCs/>
                <w:color w:val="FFFFFF"/>
              </w:rPr>
              <w:t xml:space="preserve">Entity</w:t>
            </w:r>
          </w:p>
        </w:tc>
        <w:tc>
          <w:tcPr>
            <w:tcW w:type="dxa" w:w="5300"/>
            <w:shd w:fill="1F2937" w:val="clear"/>
            <w:tcMar>
              <w:top w:type="dxa" w:w="100"/>
              <w:left w:type="dxa" w:w="120"/>
              <w:bottom w:type="dxa" w:w="100"/>
              <w:right w:type="dxa" w:w="120"/>
            </w:tcMar>
          </w:tcPr>
          <w:p>
            <w:r>
              <w:rPr>
                <w:b/>
                <w:bCs/>
                <w:color w:val="FFFFFF"/>
              </w:rPr>
              <w:t xml:space="preserve">Minimum Fields</w:t>
            </w:r>
          </w:p>
        </w:tc>
        <w:tc>
          <w:tcPr>
            <w:tcW w:type="dxa" w:w="2660"/>
            <w:shd w:fill="1F2937" w:val="clear"/>
            <w:tcMar>
              <w:top w:type="dxa" w:w="100"/>
              <w:left w:type="dxa" w:w="120"/>
              <w:bottom w:type="dxa" w:w="100"/>
              <w:right w:type="dxa" w:w="120"/>
            </w:tcMar>
          </w:tcPr>
          <w:p>
            <w:r>
              <w:rPr>
                <w:b/>
                <w:bCs/>
                <w:color w:val="FFFFFF"/>
              </w:rPr>
              <w:t xml:space="preserve">Notes</w:t>
            </w:r>
          </w:p>
        </w:tc>
      </w:tr>
      <w:tr>
        <w:tc>
          <w:tcPr>
            <w:tcW w:type="dxa" w:w="1400"/>
            <w:tcMar>
              <w:top w:type="dxa" w:w="90"/>
              <w:left w:type="dxa" w:w="120"/>
              <w:bottom w:type="dxa" w:w="90"/>
              <w:right w:type="dxa" w:w="120"/>
            </w:tcMar>
          </w:tcPr>
          <w:p>
            <w:r>
              <w:t xml:space="preserve">Model</w:t>
            </w:r>
          </w:p>
        </w:tc>
        <w:tc>
          <w:tcPr>
            <w:tcW w:type="dxa" w:w="5300"/>
            <w:tcMar>
              <w:top w:type="dxa" w:w="90"/>
              <w:left w:type="dxa" w:w="120"/>
              <w:bottom w:type="dxa" w:w="90"/>
              <w:right w:type="dxa" w:w="120"/>
            </w:tcMar>
          </w:tcPr>
          <w:p>
            <w:r>
              <w:t xml:space="preserve">modelId, provider, displayName, pricingTierRef, status (active/deprecated), registeredAt</w:t>
            </w:r>
          </w:p>
        </w:tc>
        <w:tc>
          <w:tcPr>
            <w:tcW w:type="dxa" w:w="2660"/>
            <w:tcMar>
              <w:top w:type="dxa" w:w="90"/>
              <w:left w:type="dxa" w:w="120"/>
              <w:bottom w:type="dxa" w:w="90"/>
              <w:right w:type="dxa" w:w="120"/>
            </w:tcMar>
          </w:tcPr>
          <w:p>
            <w:r>
              <w:t xml:space="preserve">pricingTierRef should point at the existing AriaModelPricing price map (Phase 2) rather than duplicating price data.</w:t>
            </w:r>
          </w:p>
        </w:tc>
      </w:tr>
      <w:tr>
        <w:tc>
          <w:tcPr>
            <w:tcW w:type="dxa" w:w="1400"/>
            <w:tcMar>
              <w:top w:type="dxa" w:w="90"/>
              <w:left w:type="dxa" w:w="120"/>
              <w:bottom w:type="dxa" w:w="90"/>
              <w:right w:type="dxa" w:w="120"/>
            </w:tcMar>
          </w:tcPr>
          <w:p>
            <w:r>
              <w:t xml:space="preserve">Tool</w:t>
            </w:r>
          </w:p>
        </w:tc>
        <w:tc>
          <w:tcPr>
            <w:tcW w:type="dxa" w:w="5300"/>
            <w:tcMar>
              <w:top w:type="dxa" w:w="90"/>
              <w:left w:type="dxa" w:w="120"/>
              <w:bottom w:type="dxa" w:w="90"/>
              <w:right w:type="dxa" w:w="120"/>
            </w:tcMar>
          </w:tcPr>
          <w:p>
            <w:r>
              <w:t xml:space="preserve">toolId, mcpServerName (nullable if internal, non-MCP tool), displayName, description, ownerTeam (nullable), status, registeredAt</w:t>
            </w:r>
          </w:p>
        </w:tc>
        <w:tc>
          <w:tcPr>
            <w:tcW w:type="dxa" w:w="2660"/>
            <w:tcMar>
              <w:top w:type="dxa" w:w="90"/>
              <w:left w:type="dxa" w:w="120"/>
              <w:bottom w:type="dxa" w:w="90"/>
              <w:right w:type="dxa" w:w="120"/>
            </w:tcMar>
          </w:tcPr>
          <w:p>
            <w:r>
              <w:t xml:space="preserve">Covers both MCP-exposed tools and internal tools already referenced by toolName in aria_call_records.</w:t>
            </w:r>
          </w:p>
        </w:tc>
      </w:tr>
      <w:tr>
        <w:tc>
          <w:tcPr>
            <w:tcW w:type="dxa" w:w="1400"/>
            <w:tcMar>
              <w:top w:type="dxa" w:w="90"/>
              <w:left w:type="dxa" w:w="120"/>
              <w:bottom w:type="dxa" w:w="90"/>
              <w:right w:type="dxa" w:w="120"/>
            </w:tcMar>
          </w:tcPr>
          <w:p>
            <w:r>
              <w:t xml:space="preserve">Agent</w:t>
            </w:r>
          </w:p>
        </w:tc>
        <w:tc>
          <w:tcPr>
            <w:tcW w:type="dxa" w:w="5300"/>
            <w:tcMar>
              <w:top w:type="dxa" w:w="90"/>
              <w:left w:type="dxa" w:w="120"/>
              <w:bottom w:type="dxa" w:w="90"/>
              <w:right w:type="dxa" w:w="120"/>
            </w:tcMar>
          </w:tcPr>
          <w:p>
            <w:r>
              <w:t xml:space="preserve">agentId, displayName, ownerTeam, trustScoreRef, status, registeredAt</w:t>
            </w:r>
          </w:p>
        </w:tc>
        <w:tc>
          <w:tcPr>
            <w:tcW w:type="dxa" w:w="2660"/>
            <w:tcMar>
              <w:top w:type="dxa" w:w="90"/>
              <w:left w:type="dxa" w:w="120"/>
              <w:bottom w:type="dxa" w:w="90"/>
              <w:right w:type="dxa" w:w="120"/>
            </w:tcMar>
          </w:tcPr>
          <w:p>
            <w:r>
              <w:t xml:space="preserve">trustScoreRef must reference the existing TrustScore composite record for that agent, not duplicate or recompute any trust dimension.</w:t>
            </w:r>
          </w:p>
        </w:tc>
      </w:tr>
    </w:tbl>
    <w:p>
      <w:pPr>
        <w:spacing w:after="120"/>
      </w:pPr>
    </w:p>
    <w:p>
      <w:pPr>
        <w:pStyle w:val="Heading2"/>
        <w:spacing w:after="120" w:before="280"/>
      </w:pPr>
      <w:r>
        <w:t xml:space="preserve">4.2 Behavioral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1F2937" w:val="clear"/>
            <w:tcMar>
              <w:top w:type="dxa" w:w="100"/>
              <w:left w:type="dxa" w:w="120"/>
              <w:bottom w:type="dxa" w:w="100"/>
              <w:right w:type="dxa" w:w="120"/>
            </w:tcMar>
          </w:tcPr>
          <w:p>
            <w:r>
              <w:rPr>
                <w:b/>
                <w:bCs/>
                <w:color w:val="FFFFFF"/>
              </w:rPr>
              <w:t xml:space="preserve">ID</w:t>
            </w:r>
          </w:p>
        </w:tc>
        <w:tc>
          <w:tcPr>
            <w:tcW w:type="dxa" w:w="7860"/>
            <w:shd w:fill="1F2937" w:val="clear"/>
            <w:tcMar>
              <w:top w:type="dxa" w:w="100"/>
              <w:left w:type="dxa" w:w="120"/>
              <w:bottom w:type="dxa" w:w="100"/>
              <w:right w:type="dxa" w:w="120"/>
            </w:tcMar>
          </w:tcPr>
          <w:p>
            <w:r>
              <w:rPr>
                <w:b/>
                <w:bCs/>
                <w:color w:val="FFFFFF"/>
              </w:rPr>
              <w:t xml:space="preserve">Requirement</w:t>
            </w:r>
          </w:p>
        </w:tc>
      </w:tr>
      <w:tr>
        <w:tc>
          <w:tcPr>
            <w:tcW w:type="dxa" w:w="1500"/>
            <w:tcMar>
              <w:top w:type="dxa" w:w="90"/>
              <w:left w:type="dxa" w:w="120"/>
              <w:bottom w:type="dxa" w:w="90"/>
              <w:right w:type="dxa" w:w="120"/>
            </w:tcMar>
          </w:tcPr>
          <w:p>
            <w:r>
              <w:t xml:space="preserve">BR-12.1</w:t>
            </w:r>
          </w:p>
        </w:tc>
        <w:tc>
          <w:tcPr>
            <w:tcW w:type="dxa" w:w="7860"/>
            <w:tcMar>
              <w:top w:type="dxa" w:w="90"/>
              <w:left w:type="dxa" w:w="120"/>
              <w:bottom w:type="dxa" w:w="90"/>
              <w:right w:type="dxa" w:w="120"/>
            </w:tcMar>
          </w:tcPr>
          <w:p>
            <w:r>
              <w:t xml:space="preserve">Provide a way to register catalog entities. Acceptable approaches: explicit REST registration (POST /api/aria/catalog/{models|tools|agents}), auto-registration the first time a new modelId/toolId/agentId appears in a call record (upsert-on-first-sight), or both. Choose based on what fits the existing AriaAgentService entry-point pattern, and state the choice explicitly.</w:t>
            </w:r>
          </w:p>
        </w:tc>
      </w:tr>
      <w:tr>
        <w:tc>
          <w:tcPr>
            <w:tcW w:type="dxa" w:w="1500"/>
            <w:tcMar>
              <w:top w:type="dxa" w:w="90"/>
              <w:left w:type="dxa" w:w="120"/>
              <w:bottom w:type="dxa" w:w="90"/>
              <w:right w:type="dxa" w:w="120"/>
            </w:tcMar>
          </w:tcPr>
          <w:p>
            <w:r>
              <w:t xml:space="preserve">BR-12.2</w:t>
            </w:r>
          </w:p>
        </w:tc>
        <w:tc>
          <w:tcPr>
            <w:tcW w:type="dxa" w:w="7860"/>
            <w:tcMar>
              <w:top w:type="dxa" w:w="90"/>
              <w:left w:type="dxa" w:w="120"/>
              <w:bottom w:type="dxa" w:w="90"/>
              <w:right w:type="dxa" w:w="120"/>
            </w:tcMar>
          </w:tcPr>
          <w:p>
            <w:r>
              <w:t xml:space="preserve">Provide paginated read endpoints: GET /api/aria/catalog/models, GET /api/aria/catalog/tools, GET /api/aria/catalog/agents.</w:t>
            </w:r>
          </w:p>
        </w:tc>
      </w:tr>
      <w:tr>
        <w:tc>
          <w:tcPr>
            <w:tcW w:type="dxa" w:w="1500"/>
            <w:tcMar>
              <w:top w:type="dxa" w:w="90"/>
              <w:left w:type="dxa" w:w="120"/>
              <w:bottom w:type="dxa" w:w="90"/>
              <w:right w:type="dxa" w:w="120"/>
            </w:tcMar>
          </w:tcPr>
          <w:p>
            <w:r>
              <w:t xml:space="preserve">BR-12.3</w:t>
            </w:r>
          </w:p>
        </w:tc>
        <w:tc>
          <w:tcPr>
            <w:tcW w:type="dxa" w:w="7860"/>
            <w:tcMar>
              <w:top w:type="dxa" w:w="90"/>
              <w:left w:type="dxa" w:w="120"/>
              <w:bottom w:type="dxa" w:w="90"/>
              <w:right w:type="dxa" w:w="120"/>
            </w:tcMar>
          </w:tcPr>
          <w:p>
            <w:r>
              <w:t xml:space="preserve">Add a Catalog view to the React dashboard (new tab or panel — implementer's judgment) where each entry links out to that entity's existing cost or trust view (existing model/feature cost tabs, existing TrustScore view) rather than duplicating that data inline.</w:t>
            </w:r>
          </w:p>
        </w:tc>
      </w:tr>
      <w:tr>
        <w:tc>
          <w:tcPr>
            <w:tcW w:type="dxa" w:w="1500"/>
            <w:tcMar>
              <w:top w:type="dxa" w:w="90"/>
              <w:left w:type="dxa" w:w="120"/>
              <w:bottom w:type="dxa" w:w="90"/>
              <w:right w:type="dxa" w:w="120"/>
            </w:tcMar>
          </w:tcPr>
          <w:p>
            <w:r>
              <w:t xml:space="preserve">BR-12.4</w:t>
            </w:r>
          </w:p>
        </w:tc>
        <w:tc>
          <w:tcPr>
            <w:tcW w:type="dxa" w:w="7860"/>
            <w:tcMar>
              <w:top w:type="dxa" w:w="90"/>
              <w:left w:type="dxa" w:w="120"/>
              <w:bottom w:type="dxa" w:w="90"/>
              <w:right w:type="dxa" w:w="120"/>
            </w:tcMar>
          </w:tcPr>
          <w:p>
            <w:r>
              <w:t xml:space="preserve">Do not create a second copy of TrustScore's behavioral, structural, integrity, budget-adherence, eval-reliability, or trajectory-integrity dimensions inside the catalog. The Agent entity references the existing TrustScore record by ID only.</w:t>
            </w:r>
          </w:p>
        </w:tc>
      </w:tr>
      <w:tr>
        <w:tc>
          <w:tcPr>
            <w:tcW w:type="dxa" w:w="1500"/>
            <w:tcMar>
              <w:top w:type="dxa" w:w="90"/>
              <w:left w:type="dxa" w:w="120"/>
              <w:bottom w:type="dxa" w:w="90"/>
              <w:right w:type="dxa" w:w="120"/>
            </w:tcMar>
          </w:tcPr>
          <w:p>
            <w:r>
              <w:t xml:space="preserve">BR-12.5</w:t>
            </w:r>
          </w:p>
        </w:tc>
        <w:tc>
          <w:tcPr>
            <w:tcW w:type="dxa" w:w="7860"/>
            <w:tcMar>
              <w:top w:type="dxa" w:w="90"/>
              <w:left w:type="dxa" w:w="120"/>
              <w:bottom w:type="dxa" w:w="90"/>
              <w:right w:type="dxa" w:w="120"/>
            </w:tcMar>
          </w:tcPr>
          <w:p>
            <w:r>
              <w:t xml:space="preserve">Do not backfill historical aria_call_records or aria_mcp_call_records with catalog references retroactively unless explicitly asked — this addendum covers go-forward attribution only, to avoid an unscoped historical migration.</w:t>
            </w:r>
          </w:p>
        </w:tc>
      </w:tr>
    </w:tbl>
    <w:p>
      <w:pPr>
        <w:spacing w:after="120"/>
      </w:pPr>
    </w:p>
    <w:p>
      <w:pPr>
        <w:pStyle w:val="Heading2"/>
        <w:spacing w:after="120" w:before="280"/>
      </w:pPr>
      <w:r>
        <w:t xml:space="preserve">4.3 Non-Goals for Phase 12</w:t>
      </w:r>
    </w:p>
    <w:p>
      <w:pPr>
        <w:spacing w:after="140"/>
      </w:pPr>
      <w:r>
        <w:t xml:space="preserve">This phase does not implement: import or export to third-party asset registries, cross-organization catalog federation, or any authorization decision based on catalog membership. The catalog is inventory and attribution metadata, not an access-control system.</w:t>
      </w:r>
    </w:p>
    <w:p>
      <w:pPr>
        <w:spacing w:after="120"/>
      </w:pPr>
    </w:p>
    <w:p>
      <w:pPr>
        <w:pStyle w:val="Heading1"/>
        <w:spacing w:after="160" w:before="360"/>
      </w:pPr>
      <w:r>
        <w:t xml:space="preserve">5. Global Non-Goals (Formalized)</w:t>
      </w:r>
    </w:p>
    <w:p>
      <w:pPr>
        <w:spacing w:after="140"/>
      </w:pPr>
      <w:r>
        <w:t xml:space="preserve">The following were identified as being outside ARIA's lane during the gap review. They are not omissions to be fixed — they are deliberate boundary decisions, consistent with how ARIA has been presented to stakeholders. This addendum does not implement any of the following, and no future ARIA phase should implement them without a separate, explicit scoping decision:</w:t>
      </w:r>
    </w:p>
    <w:p>
      <w:pPr>
        <w:pStyle w:val="ListParagraph"/>
        <w:numPr>
          <w:ilvl w:val="0"/>
          <w:numId w:val="2"/>
        </w:numPr>
        <w:spacing w:after="80"/>
      </w:pPr>
      <w:r>
        <w:t xml:space="preserve">Agent identity and per-agent credential issuance (e.g., OAuth 2.1, RFC 8693 token exchange). This is IAM infrastructure. As of this document's writing, ownership of agent identity/auth infrastructure at JPMC has not been confirmed — see Section 6, item 3. ARIA must not build a substitute for this.</w:t>
      </w:r>
    </w:p>
    <w:p>
      <w:pPr>
        <w:pStyle w:val="ListParagraph"/>
        <w:numPr>
          <w:ilvl w:val="0"/>
          <w:numId w:val="2"/>
        </w:numPr>
        <w:spacing w:after="80"/>
      </w:pPr>
      <w:r>
        <w:t xml:space="preserve">Gateway-level, protocol-aware policy enforcement that operates independently of application code. ARIA instruments and attributes cost and behavior; it does not act as an enforcement gateway for LLM, MCP, or agent-to-agent traffic.</w:t>
      </w:r>
    </w:p>
    <w:p>
      <w:pPr>
        <w:pStyle w:val="ListParagraph"/>
        <w:numPr>
          <w:ilvl w:val="0"/>
          <w:numId w:val="2"/>
        </w:numPr>
        <w:spacing w:after="80"/>
      </w:pPr>
      <w:r>
        <w:t xml:space="preserve">Full cross-protocol lineage graphs spanning agent-to-tool, agent-to-LLM, and agent-to-agent hops in one navigable view. ARIA's prefix-merge trajectory reconstruction (Phase 3) remains scoped to LLM call chains within a session; MCP call linkage added in Phase 11 is attribution-level, not a full lineage graph.</w:t>
      </w:r>
    </w:p>
    <w:p>
      <w:pPr>
        <w:spacing w:after="120"/>
      </w:pPr>
    </w:p>
    <w:p>
      <w:pPr>
        <w:pStyle w:val="Heading1"/>
        <w:spacing w:after="160" w:before="360"/>
      </w:pPr>
      <w:r>
        <w:t xml:space="preserve">6. Open Items — Must Be Resolved or Explicitly Flagged Before Implementation</w:t>
      </w:r>
    </w:p>
    <w:p>
      <w:pPr>
        <w:spacing w:after="140"/>
      </w:pPr>
      <w:r>
        <w:t xml:space="preserve">Do not guess at answers to the following. Where the current codebase or organizational context does not make the answer clear, state that plainly in the implementation notes rather than proceeding on an assumption.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gridCol w:w="3760"/>
      </w:tblGrid>
      <w:tr>
        <w:trPr>
          <w:tblHeader/>
        </w:trPr>
        <w:tc>
          <w:tcPr>
            <w:tcW w:type="dxa" w:w="500"/>
            <w:shd w:fill="1F2937" w:val="clear"/>
            <w:tcMar>
              <w:top w:type="dxa" w:w="100"/>
              <w:left w:type="dxa" w:w="120"/>
              <w:bottom w:type="dxa" w:w="100"/>
              <w:right w:type="dxa" w:w="120"/>
            </w:tcMar>
          </w:tcPr>
          <w:p>
            <w:r>
              <w:rPr>
                <w:b/>
                <w:bCs/>
                <w:color w:val="FFFFFF"/>
              </w:rPr>
              <w:t xml:space="preserve">#</w:t>
            </w:r>
          </w:p>
        </w:tc>
        <w:tc>
          <w:tcPr>
            <w:tcW w:type="dxa" w:w="5100"/>
            <w:shd w:fill="1F2937" w:val="clear"/>
            <w:tcMar>
              <w:top w:type="dxa" w:w="100"/>
              <w:left w:type="dxa" w:w="120"/>
              <w:bottom w:type="dxa" w:w="100"/>
              <w:right w:type="dxa" w:w="120"/>
            </w:tcMar>
          </w:tcPr>
          <w:p>
            <w:r>
              <w:rPr>
                <w:b/>
                <w:bCs/>
                <w:color w:val="FFFFFF"/>
              </w:rPr>
              <w:t xml:space="preserve">Open Item</w:t>
            </w:r>
          </w:p>
        </w:tc>
        <w:tc>
          <w:tcPr>
            <w:tcW w:type="dxa" w:w="3760"/>
            <w:shd w:fill="1F2937" w:val="clear"/>
            <w:tcMar>
              <w:top w:type="dxa" w:w="100"/>
              <w:left w:type="dxa" w:w="120"/>
              <w:bottom w:type="dxa" w:w="100"/>
              <w:right w:type="dxa" w:w="120"/>
            </w:tcMar>
          </w:tcPr>
          <w:p>
            <w:r>
              <w:rPr>
                <w:b/>
                <w:bCs/>
                <w:color w:val="FFFFFF"/>
              </w:rPr>
              <w:t xml:space="preserve">Why It Matters</w:t>
            </w:r>
          </w:p>
        </w:tc>
      </w:tr>
      <w:tr>
        <w:tc>
          <w:tcPr>
            <w:tcW w:type="dxa" w:w="500"/>
            <w:tcMar>
              <w:top w:type="dxa" w:w="90"/>
              <w:left w:type="dxa" w:w="120"/>
              <w:bottom w:type="dxa" w:w="90"/>
              <w:right w:type="dxa" w:w="120"/>
            </w:tcMar>
          </w:tcPr>
          <w:p>
            <w:r>
              <w:t xml:space="preserve">1</w:t>
            </w:r>
          </w:p>
        </w:tc>
        <w:tc>
          <w:tcPr>
            <w:tcW w:type="dxa" w:w="5100"/>
            <w:tcMar>
              <w:top w:type="dxa" w:w="90"/>
              <w:left w:type="dxa" w:w="120"/>
              <w:bottom w:type="dxa" w:w="90"/>
              <w:right w:type="dxa" w:w="120"/>
            </w:tcMar>
          </w:tcPr>
          <w:p>
            <w:r>
              <w:t xml:space="preserve">Does ACES currently route all outbound MCP tool calls through a single client/service, or are calls made from multiple places in the codebase?</w:t>
            </w:r>
          </w:p>
        </w:tc>
        <w:tc>
          <w:tcPr>
            <w:tcW w:type="dxa" w:w="3760"/>
            <w:tcMar>
              <w:top w:type="dxa" w:w="90"/>
              <w:left w:type="dxa" w:w="120"/>
              <w:bottom w:type="dxa" w:w="90"/>
              <w:right w:type="dxa" w:w="120"/>
            </w:tcMar>
          </w:tcPr>
          <w:p>
            <w:r>
              <w:t xml:space="preserve">Determines whether BR-11.2 can be satisfied with one interception point or requires a broader refactor first.</w:t>
            </w:r>
          </w:p>
        </w:tc>
      </w:tr>
      <w:tr>
        <w:tc>
          <w:tcPr>
            <w:tcW w:type="dxa" w:w="500"/>
            <w:tcMar>
              <w:top w:type="dxa" w:w="90"/>
              <w:left w:type="dxa" w:w="120"/>
              <w:bottom w:type="dxa" w:w="90"/>
              <w:right w:type="dxa" w:w="120"/>
            </w:tcMar>
          </w:tcPr>
          <w:p>
            <w:r>
              <w:t xml:space="preserve">2</w:t>
            </w:r>
          </w:p>
        </w:tc>
        <w:tc>
          <w:tcPr>
            <w:tcW w:type="dxa" w:w="5100"/>
            <w:tcMar>
              <w:top w:type="dxa" w:w="90"/>
              <w:left w:type="dxa" w:w="120"/>
              <w:bottom w:type="dxa" w:w="90"/>
              <w:right w:type="dxa" w:w="120"/>
            </w:tcMar>
          </w:tcPr>
          <w:p>
            <w:r>
              <w:t xml:space="preserve">Does ACES currently make any agent-to-agent (A2A) calls in production or staging code today?</w:t>
            </w:r>
          </w:p>
        </w:tc>
        <w:tc>
          <w:tcPr>
            <w:tcW w:type="dxa" w:w="3760"/>
            <w:tcMar>
              <w:top w:type="dxa" w:w="90"/>
              <w:left w:type="dxa" w:w="120"/>
              <w:bottom w:type="dxa" w:w="90"/>
              <w:right w:type="dxa" w:w="120"/>
            </w:tcMar>
          </w:tcPr>
          <w:p>
            <w:r>
              <w:t xml:space="preserve">A2A interception was deliberately excluded from this addendum because this has not been confirmed. If the answer is yes, A2A attribution should be scoped as a follow-on phase using the same pattern as Phase 11.</w:t>
            </w:r>
          </w:p>
        </w:tc>
      </w:tr>
      <w:tr>
        <w:tc>
          <w:tcPr>
            <w:tcW w:type="dxa" w:w="500"/>
            <w:tcMar>
              <w:top w:type="dxa" w:w="90"/>
              <w:left w:type="dxa" w:w="120"/>
              <w:bottom w:type="dxa" w:w="90"/>
              <w:right w:type="dxa" w:w="120"/>
            </w:tcMar>
          </w:tcPr>
          <w:p>
            <w:r>
              <w:t xml:space="preserve">3</w:t>
            </w:r>
          </w:p>
        </w:tc>
        <w:tc>
          <w:tcPr>
            <w:tcW w:type="dxa" w:w="5100"/>
            <w:tcMar>
              <w:top w:type="dxa" w:w="90"/>
              <w:left w:type="dxa" w:w="120"/>
              <w:bottom w:type="dxa" w:w="90"/>
              <w:right w:type="dxa" w:w="120"/>
            </w:tcMar>
          </w:tcPr>
          <w:p>
            <w:r>
              <w:t xml:space="preserve">Who owns JPMC's internal agent/API gateway, and does it already handle AI-agent traffic (LLM/MCP/A2A) specifically, including any cost or token attribution?</w:t>
            </w:r>
          </w:p>
        </w:tc>
        <w:tc>
          <w:tcPr>
            <w:tcW w:type="dxa" w:w="3760"/>
            <w:tcMar>
              <w:top w:type="dxa" w:w="90"/>
              <w:left w:type="dxa" w:w="120"/>
              <w:bottom w:type="dxa" w:w="90"/>
              <w:right w:type="dxa" w:w="120"/>
            </w:tcMar>
          </w:tcPr>
          <w:p>
            <w:r>
              <w:t xml:space="preserve">Directly determines whether Section 5's global non-goals remain permanent or whether a specific integration point with that gateway should be scoped later. Ownership was described as uncertain at the time this document was written.</w:t>
            </w:r>
          </w:p>
        </w:tc>
      </w:tr>
      <w:tr>
        <w:tc>
          <w:tcPr>
            <w:tcW w:type="dxa" w:w="500"/>
            <w:tcMar>
              <w:top w:type="dxa" w:w="90"/>
              <w:left w:type="dxa" w:w="120"/>
              <w:bottom w:type="dxa" w:w="90"/>
              <w:right w:type="dxa" w:w="120"/>
            </w:tcMar>
          </w:tcPr>
          <w:p>
            <w:r>
              <w:t xml:space="preserve">4</w:t>
            </w:r>
          </w:p>
        </w:tc>
        <w:tc>
          <w:tcPr>
            <w:tcW w:type="dxa" w:w="5100"/>
            <w:tcMar>
              <w:top w:type="dxa" w:w="90"/>
              <w:left w:type="dxa" w:w="120"/>
              <w:bottom w:type="dxa" w:w="90"/>
              <w:right w:type="dxa" w:w="120"/>
            </w:tcMar>
          </w:tcPr>
          <w:p>
            <w:r>
              <w:t xml:space="preserve">Is there an existing, real internal cost model for non-LLM resources consumed by MCP tool calls (e.g., compute, third-party API metering)?</w:t>
            </w:r>
          </w:p>
        </w:tc>
        <w:tc>
          <w:tcPr>
            <w:tcW w:type="dxa" w:w="3760"/>
            <w:tcMar>
              <w:top w:type="dxa" w:w="90"/>
              <w:left w:type="dxa" w:w="120"/>
              <w:bottom w:type="dxa" w:w="90"/>
              <w:right w:type="dxa" w:w="120"/>
            </w:tcMar>
          </w:tcPr>
          <w:p>
            <w:r>
              <w:t xml:space="preserve">Governs whether BR-11.4's cost fields can ever be populated for pure-compute tool calls, or must remain null indefinitely.</w:t>
            </w:r>
          </w:p>
        </w:tc>
      </w:tr>
    </w:tbl>
    <w:p>
      <w:pPr>
        <w:spacing w:after="120"/>
      </w:pPr>
    </w:p>
    <w:p>
      <w:pPr>
        <w:pStyle w:val="Heading1"/>
        <w:spacing w:after="160" w:before="360"/>
      </w:pPr>
      <w:r>
        <w:t xml:space="preserve">7.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4160"/>
      </w:tblGrid>
      <w:tr>
        <w:trPr>
          <w:tblHeader/>
        </w:trPr>
        <w:tc>
          <w:tcPr>
            <w:tcW w:type="dxa" w:w="500"/>
            <w:shd w:fill="1F2937" w:val="clear"/>
            <w:tcMar>
              <w:top w:type="dxa" w:w="100"/>
              <w:left w:type="dxa" w:w="120"/>
              <w:bottom w:type="dxa" w:w="100"/>
              <w:right w:type="dxa" w:w="120"/>
            </w:tcMar>
          </w:tcPr>
          <w:p>
            <w:r>
              <w:rPr>
                <w:b/>
                <w:bCs/>
                <w:color w:val="FFFFFF"/>
              </w:rPr>
              <w:t xml:space="preserve">#</w:t>
            </w:r>
          </w:p>
        </w:tc>
        <w:tc>
          <w:tcPr>
            <w:tcW w:type="dxa" w:w="4700"/>
            <w:shd w:fill="1F2937" w:val="clear"/>
            <w:tcMar>
              <w:top w:type="dxa" w:w="100"/>
              <w:left w:type="dxa" w:w="120"/>
              <w:bottom w:type="dxa" w:w="100"/>
              <w:right w:type="dxa" w:w="120"/>
            </w:tcMar>
          </w:tcPr>
          <w:p>
            <w:r>
              <w:rPr>
                <w:b/>
                <w:bCs/>
                <w:color w:val="FFFFFF"/>
              </w:rPr>
              <w:t xml:space="preserve">Criterion</w:t>
            </w:r>
          </w:p>
        </w:tc>
        <w:tc>
          <w:tcPr>
            <w:tcW w:type="dxa" w:w="4160"/>
            <w:shd w:fill="1F2937" w:val="clear"/>
            <w:tcMar>
              <w:top w:type="dxa" w:w="100"/>
              <w:left w:type="dxa" w:w="120"/>
              <w:bottom w:type="dxa" w:w="100"/>
              <w:right w:type="dxa" w:w="120"/>
            </w:tcMar>
          </w:tcPr>
          <w:p>
            <w:r>
              <w:rPr>
                <w:b/>
                <w:bCs/>
                <w:color w:val="FFFFFF"/>
              </w:rPr>
              <w:t xml:space="preserve">How to Verify</w:t>
            </w:r>
          </w:p>
        </w:tc>
      </w:tr>
      <w:tr>
        <w:tc>
          <w:tcPr>
            <w:tcW w:type="dxa" w:w="500"/>
            <w:tcMar>
              <w:top w:type="dxa" w:w="90"/>
              <w:left w:type="dxa" w:w="120"/>
              <w:bottom w:type="dxa" w:w="90"/>
              <w:right w:type="dxa" w:w="120"/>
            </w:tcMar>
          </w:tcPr>
          <w:p>
            <w:r>
              <w:t xml:space="preserve">1</w:t>
            </w:r>
          </w:p>
        </w:tc>
        <w:tc>
          <w:tcPr>
            <w:tcW w:type="dxa" w:w="4700"/>
            <w:tcMar>
              <w:top w:type="dxa" w:w="90"/>
              <w:left w:type="dxa" w:w="120"/>
              <w:bottom w:type="dxa" w:w="90"/>
              <w:right w:type="dxa" w:w="120"/>
            </w:tcMar>
          </w:tcPr>
          <w:p>
            <w:r>
              <w:t xml:space="preserve">GET (MCP cost/usage endpoint from BR-11.6) returns at least one record after a test MCP tool invocation.</w:t>
            </w:r>
          </w:p>
        </w:tc>
        <w:tc>
          <w:tcPr>
            <w:tcW w:type="dxa" w:w="4160"/>
            <w:tcMar>
              <w:top w:type="dxa" w:w="90"/>
              <w:left w:type="dxa" w:w="120"/>
              <w:bottom w:type="dxa" w:w="90"/>
              <w:right w:type="dxa" w:w="120"/>
            </w:tcMar>
          </w:tcPr>
          <w:p>
            <w:r>
              <w:t xml:space="preserve">Trigger one MCP tool call in a test session; call the endpoint with that sessionId.</w:t>
            </w:r>
          </w:p>
        </w:tc>
      </w:tr>
      <w:tr>
        <w:tc>
          <w:tcPr>
            <w:tcW w:type="dxa" w:w="500"/>
            <w:tcMar>
              <w:top w:type="dxa" w:w="90"/>
              <w:left w:type="dxa" w:w="120"/>
              <w:bottom w:type="dxa" w:w="90"/>
              <w:right w:type="dxa" w:w="120"/>
            </w:tcMar>
          </w:tcPr>
          <w:p>
            <w:r>
              <w:t xml:space="preserve">2</w:t>
            </w:r>
          </w:p>
        </w:tc>
        <w:tc>
          <w:tcPr>
            <w:tcW w:type="dxa" w:w="4700"/>
            <w:tcMar>
              <w:top w:type="dxa" w:w="90"/>
              <w:left w:type="dxa" w:w="120"/>
              <w:bottom w:type="dxa" w:w="90"/>
              <w:right w:type="dxa" w:w="120"/>
            </w:tcMar>
          </w:tcPr>
          <w:p>
            <w:r>
              <w:t xml:space="preserve">MCP call records link to their originating session, and to any downstream LLM call, without double-counting cost.</w:t>
            </w:r>
          </w:p>
        </w:tc>
        <w:tc>
          <w:tcPr>
            <w:tcW w:type="dxa" w:w="4160"/>
            <w:tcMar>
              <w:top w:type="dxa" w:w="90"/>
              <w:left w:type="dxa" w:w="120"/>
              <w:bottom w:type="dxa" w:w="90"/>
              <w:right w:type="dxa" w:w="120"/>
            </w:tcMar>
          </w:tcPr>
          <w:p>
            <w:r>
              <w:t xml:space="preserve">Trigger an MCP call that itself invokes an LLM call; confirm one cost figure is attributed, not two.</w:t>
            </w:r>
          </w:p>
        </w:tc>
      </w:tr>
      <w:tr>
        <w:tc>
          <w:tcPr>
            <w:tcW w:type="dxa" w:w="500"/>
            <w:tcMar>
              <w:top w:type="dxa" w:w="90"/>
              <w:left w:type="dxa" w:w="120"/>
              <w:bottom w:type="dxa" w:w="90"/>
              <w:right w:type="dxa" w:w="120"/>
            </w:tcMar>
          </w:tcPr>
          <w:p>
            <w:r>
              <w:t xml:space="preserve">3</w:t>
            </w:r>
          </w:p>
        </w:tc>
        <w:tc>
          <w:tcPr>
            <w:tcW w:type="dxa" w:w="4700"/>
            <w:tcMar>
              <w:top w:type="dxa" w:w="90"/>
              <w:left w:type="dxa" w:w="120"/>
              <w:bottom w:type="dxa" w:w="90"/>
              <w:right w:type="dxa" w:w="120"/>
            </w:tcMar>
          </w:tcPr>
          <w:p>
            <w:r>
              <w:t xml:space="preserve">MCP capture writes are asynchronous and add no measurable latency to the tool-call critical path.</w:t>
            </w:r>
          </w:p>
        </w:tc>
        <w:tc>
          <w:tcPr>
            <w:tcW w:type="dxa" w:w="4160"/>
            <w:tcMar>
              <w:top w:type="dxa" w:w="90"/>
              <w:left w:type="dxa" w:w="120"/>
              <w:bottom w:type="dxa" w:w="90"/>
              <w:right w:type="dxa" w:w="120"/>
            </w:tcMar>
          </w:tcPr>
          <w:p>
            <w:r>
              <w:t xml:space="preserve">Compare tool-call latency with capture enabled vs. disabled under load.</w:t>
            </w:r>
          </w:p>
        </w:tc>
      </w:tr>
      <w:tr>
        <w:tc>
          <w:tcPr>
            <w:tcW w:type="dxa" w:w="500"/>
            <w:tcMar>
              <w:top w:type="dxa" w:w="90"/>
              <w:left w:type="dxa" w:w="120"/>
              <w:bottom w:type="dxa" w:w="90"/>
              <w:right w:type="dxa" w:w="120"/>
            </w:tcMar>
          </w:tcPr>
          <w:p>
            <w:r>
              <w:t xml:space="preserve">4</w:t>
            </w:r>
          </w:p>
        </w:tc>
        <w:tc>
          <w:tcPr>
            <w:tcW w:type="dxa" w:w="4700"/>
            <w:tcMar>
              <w:top w:type="dxa" w:w="90"/>
              <w:left w:type="dxa" w:w="120"/>
              <w:bottom w:type="dxa" w:w="90"/>
              <w:right w:type="dxa" w:w="120"/>
            </w:tcMar>
          </w:tcPr>
          <w:p>
            <w:r>
              <w:t xml:space="preserve">Catalog registers a new model/tool/agent entry the first time its ID is seen (if auto-registration was the chosen approach), with no manual entry required.</w:t>
            </w:r>
          </w:p>
        </w:tc>
        <w:tc>
          <w:tcPr>
            <w:tcW w:type="dxa" w:w="4160"/>
            <w:tcMar>
              <w:top w:type="dxa" w:w="90"/>
              <w:left w:type="dxa" w:w="120"/>
              <w:bottom w:type="dxa" w:w="90"/>
              <w:right w:type="dxa" w:w="120"/>
            </w:tcMar>
          </w:tcPr>
          <w:p>
            <w:r>
              <w:t xml:space="preserve">Issue a call referencing a never-before-seen toolId; confirm a catalog row appears.</w:t>
            </w:r>
          </w:p>
        </w:tc>
      </w:tr>
      <w:tr>
        <w:tc>
          <w:tcPr>
            <w:tcW w:type="dxa" w:w="500"/>
            <w:tcMar>
              <w:top w:type="dxa" w:w="90"/>
              <w:left w:type="dxa" w:w="120"/>
              <w:bottom w:type="dxa" w:w="90"/>
              <w:right w:type="dxa" w:w="120"/>
            </w:tcMar>
          </w:tcPr>
          <w:p>
            <w:r>
              <w:t xml:space="preserve">5</w:t>
            </w:r>
          </w:p>
        </w:tc>
        <w:tc>
          <w:tcPr>
            <w:tcW w:type="dxa" w:w="4700"/>
            <w:tcMar>
              <w:top w:type="dxa" w:w="90"/>
              <w:left w:type="dxa" w:w="120"/>
              <w:bottom w:type="dxa" w:w="90"/>
              <w:right w:type="dxa" w:w="120"/>
            </w:tcMar>
          </w:tcPr>
          <w:p>
            <w:r>
              <w:t xml:space="preserve">Catalog GET endpoints return paginated, correctly-shaped results for models, tools, and agents.</w:t>
            </w:r>
          </w:p>
        </w:tc>
        <w:tc>
          <w:tcPr>
            <w:tcW w:type="dxa" w:w="4160"/>
            <w:tcMar>
              <w:top w:type="dxa" w:w="90"/>
              <w:left w:type="dxa" w:w="120"/>
              <w:bottom w:type="dxa" w:w="90"/>
              <w:right w:type="dxa" w:w="120"/>
            </w:tcMar>
          </w:tcPr>
          <w:p>
            <w:r>
              <w:t xml:space="preserve">Call each endpoint and inspect pagination fields and entity shape.</w:t>
            </w:r>
          </w:p>
        </w:tc>
      </w:tr>
      <w:tr>
        <w:tc>
          <w:tcPr>
            <w:tcW w:type="dxa" w:w="500"/>
            <w:tcMar>
              <w:top w:type="dxa" w:w="90"/>
              <w:left w:type="dxa" w:w="120"/>
              <w:bottom w:type="dxa" w:w="90"/>
              <w:right w:type="dxa" w:w="120"/>
            </w:tcMar>
          </w:tcPr>
          <w:p>
            <w:r>
              <w:t xml:space="preserve">6</w:t>
            </w:r>
          </w:p>
        </w:tc>
        <w:tc>
          <w:tcPr>
            <w:tcW w:type="dxa" w:w="4700"/>
            <w:tcMar>
              <w:top w:type="dxa" w:w="90"/>
              <w:left w:type="dxa" w:w="120"/>
              <w:bottom w:type="dxa" w:w="90"/>
              <w:right w:type="dxa" w:w="120"/>
            </w:tcMar>
          </w:tcPr>
          <w:p>
            <w:r>
              <w:t xml:space="preserve">The dashboard Catalog view links each entry out to its existing cost or trust view without duplicating that data inline.</w:t>
            </w:r>
          </w:p>
        </w:tc>
        <w:tc>
          <w:tcPr>
            <w:tcW w:type="dxa" w:w="4160"/>
            <w:tcMar>
              <w:top w:type="dxa" w:w="90"/>
              <w:left w:type="dxa" w:w="120"/>
              <w:bottom w:type="dxa" w:w="90"/>
              <w:right w:type="dxa" w:w="120"/>
            </w:tcMar>
          </w:tcPr>
          <w:p>
            <w:r>
              <w:t xml:space="preserve">Open a catalog entry in the UI; confirm the link lands on the existing cost/trust page for that entity.</w:t>
            </w:r>
          </w:p>
        </w:tc>
      </w:tr>
      <w:tr>
        <w:tc>
          <w:tcPr>
            <w:tcW w:type="dxa" w:w="500"/>
            <w:tcMar>
              <w:top w:type="dxa" w:w="90"/>
              <w:left w:type="dxa" w:w="120"/>
              <w:bottom w:type="dxa" w:w="90"/>
              <w:right w:type="dxa" w:w="120"/>
            </w:tcMar>
          </w:tcPr>
          <w:p>
            <w:r>
              <w:t xml:space="preserve">7</w:t>
            </w:r>
          </w:p>
        </w:tc>
        <w:tc>
          <w:tcPr>
            <w:tcW w:type="dxa" w:w="4700"/>
            <w:tcMar>
              <w:top w:type="dxa" w:w="90"/>
              <w:left w:type="dxa" w:w="120"/>
              <w:bottom w:type="dxa" w:w="90"/>
              <w:right w:type="dxa" w:w="120"/>
            </w:tcMar>
          </w:tcPr>
          <w:p>
            <w:r>
              <w:t xml:space="preserve">No new dollar-cost figure appears anywhere in this addendum's output without a documented formula, or is explicitly marked null/pending.</w:t>
            </w:r>
          </w:p>
        </w:tc>
        <w:tc>
          <w:tcPr>
            <w:tcW w:type="dxa" w:w="4160"/>
            <w:tcMar>
              <w:top w:type="dxa" w:w="90"/>
              <w:left w:type="dxa" w:w="120"/>
              <w:bottom w:type="dxa" w:w="90"/>
              <w:right w:type="dxa" w:w="120"/>
            </w:tcMar>
          </w:tcPr>
          <w:p>
            <w:r>
              <w:t xml:space="preserve">Code review: grep for any new hardcoded or estimated cost values introduced by Phases 11–12.</w:t>
            </w:r>
          </w:p>
        </w:tc>
      </w:tr>
      <w:tr>
        <w:tc>
          <w:tcPr>
            <w:tcW w:type="dxa" w:w="500"/>
            <w:tcMar>
              <w:top w:type="dxa" w:w="90"/>
              <w:left w:type="dxa" w:w="120"/>
              <w:bottom w:type="dxa" w:w="90"/>
              <w:right w:type="dxa" w:w="120"/>
            </w:tcMar>
          </w:tcPr>
          <w:p>
            <w:r>
              <w:t xml:space="preserve">8</w:t>
            </w:r>
          </w:p>
        </w:tc>
        <w:tc>
          <w:tcPr>
            <w:tcW w:type="dxa" w:w="4700"/>
            <w:tcMar>
              <w:top w:type="dxa" w:w="90"/>
              <w:left w:type="dxa" w:w="120"/>
              <w:bottom w:type="dxa" w:w="90"/>
              <w:right w:type="dxa" w:w="120"/>
            </w:tcMar>
          </w:tcPr>
          <w:p>
            <w:r>
              <w:t xml:space="preserve">Section 5's global non-goals are left unimplemented — no agent-identity, credential-issuance, or gateway-enforcement code is introduced under this addendum.</w:t>
            </w:r>
          </w:p>
        </w:tc>
        <w:tc>
          <w:tcPr>
            <w:tcW w:type="dxa" w:w="4160"/>
            <w:tcMar>
              <w:top w:type="dxa" w:w="90"/>
              <w:left w:type="dxa" w:w="120"/>
              <w:bottom w:type="dxa" w:w="90"/>
              <w:right w:type="dxa" w:w="120"/>
            </w:tcMar>
          </w:tcPr>
          <w:p>
            <w:r>
              <w:t xml:space="preserve">Code review against Section 5 at the end of implementation.</w:t>
            </w:r>
          </w:p>
        </w:tc>
      </w:tr>
    </w:tbl>
    <w:p>
      <w:pPr>
        <w:spacing w:after="120"/>
      </w:pPr>
    </w:p>
    <w:p>
      <w:pPr>
        <w:pStyle w:val="Heading1"/>
        <w:spacing w:after="160" w:before="360"/>
      </w:pPr>
      <w:r>
        <w:t xml:space="preserve">8. Files Expected From This Addendum</w:t>
      </w:r>
    </w:p>
    <w:p>
      <w:pPr>
        <w:spacing w:after="140"/>
      </w:pPr>
      <w:r>
        <w:t xml:space="preserve">The implementing session should decide exact file/class names consistent with the existing ARIA codebase's conventions (see the original Implementation Guide's Section 8 manifest for the naming pattern already in use). At minimum, this addendum implies:</w:t>
      </w:r>
    </w:p>
    <w:p>
      <w:pPr>
        <w:pStyle w:val="ListParagraph"/>
        <w:numPr>
          <w:ilvl w:val="0"/>
          <w:numId w:val="2"/>
        </w:numPr>
        <w:spacing w:after="80"/>
      </w:pPr>
      <w:r>
        <w:t xml:space="preserve">A new MCP call interception component, mirroring the role of the existing Phase 2 proxy interceptor.</w:t>
      </w:r>
    </w:p>
    <w:p>
      <w:pPr>
        <w:pStyle w:val="ListParagraph"/>
        <w:numPr>
          <w:ilvl w:val="0"/>
          <w:numId w:val="2"/>
        </w:numPr>
        <w:spacing w:after="80"/>
      </w:pPr>
      <w:r>
        <w:t xml:space="preserve">A new MCP call record data model and repository/store, mirroring the role of the existing Phase 3 trajectory store.</w:t>
      </w:r>
    </w:p>
    <w:p>
      <w:pPr>
        <w:pStyle w:val="ListParagraph"/>
        <w:numPr>
          <w:ilvl w:val="0"/>
          <w:numId w:val="2"/>
        </w:numPr>
        <w:spacing w:after="80"/>
      </w:pPr>
      <w:r>
        <w:t xml:space="preserve">One new or extended REST controller/endpoint for MCP cost/usage data (BR-11.6).</w:t>
      </w:r>
    </w:p>
    <w:p>
      <w:pPr>
        <w:pStyle w:val="ListParagraph"/>
        <w:numPr>
          <w:ilvl w:val="0"/>
          <w:numId w:val="2"/>
        </w:numPr>
        <w:spacing w:after="80"/>
      </w:pPr>
      <w:r>
        <w:t xml:space="preserve">New catalog data models for Model, Tool, and Agent entities, plus a repository/store.</w:t>
      </w:r>
    </w:p>
    <w:p>
      <w:pPr>
        <w:pStyle w:val="ListParagraph"/>
        <w:numPr>
          <w:ilvl w:val="0"/>
          <w:numId w:val="2"/>
        </w:numPr>
        <w:spacing w:after="80"/>
      </w:pPr>
      <w:r>
        <w:t xml:space="preserve">A new or extended REST controller for catalog registration and read access (BR-12.1, BR-12.2).</w:t>
      </w:r>
    </w:p>
    <w:p>
      <w:pPr>
        <w:pStyle w:val="ListParagraph"/>
        <w:numPr>
          <w:ilvl w:val="0"/>
          <w:numId w:val="2"/>
        </w:numPr>
        <w:spacing w:after="80"/>
      </w:pPr>
      <w:r>
        <w:t xml:space="preserve">Dashboard updates: MCP data in the existing Sessions &amp; Tools tab, and a new Catalog view (Section 4.2).</w:t>
      </w:r>
    </w:p>
    <w:p>
      <w:pPr>
        <w:spacing w:after="140"/>
      </w:pPr>
      <w:r>
        <w:rPr>
          <w:i/>
          <w:iCs/>
        </w:rPr>
        <w:t xml:space="preserve">Do not create any file implementing agent identity/credential issuance, gateway-level policy enforcement, or A2A interception under this addendum — those remain out of scope per Sections 5 and 6.</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200"/>
              <w:bottom w:type="dxa" w:w="160"/>
              <w:right w:type="dxa" w:w="200"/>
            </w:tcMar>
          </w:tcPr>
          <w:p>
            <w:pPr>
              <w:spacing w:after="80"/>
            </w:pPr>
            <w:r>
              <w:rPr>
                <w:b/>
                <w:bCs/>
              </w:rPr>
              <w:t xml:space="preserve">For the implementing Claude model</w:t>
            </w:r>
          </w:p>
          <w:p>
            <w:r>
              <w:t xml:space="preserve">Provide this document in full alongside the original ARIA_Cost_Intelligence_Implementation_Guide.docx. Where this addendum's requirements interact with existing Phase 1–10 components, treat the original guide as authoritative for naming and structure, and this document as authoritative for scope and behavior of the two new phases. If any requirement above conflicts with what you find in the existing codebase, flag the conflict and ask rather than resolving it silently.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2026-09-13T10:29:31.678Z</dcterms:created>
  <dcterms:modified xsi:type="dcterms:W3CDTF">2026-09-13T10:29:31.688Z</dcterms:modified>
</cp:coreProperties>
</file>

<file path=docProps/custom.xml><?xml version="1.0" encoding="utf-8"?>
<Properties xmlns="http://schemas.openxmlformats.org/officeDocument/2006/custom-properties" xmlns:vt="http://schemas.openxmlformats.org/officeDocument/2006/docPropsVTypes"/>
</file>