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6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 quantities above,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0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bookmarkEnd w:id="20"/>
    <w:bookmarkStart w:id="71" w:name="motivations-for-regression-models"/>
    <w:p>
      <w:pPr>
        <w:pStyle w:val="Heading1"/>
      </w:pPr>
      <w:r>
        <w:t xml:space="preserve">5.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especially when subgroups are defined using continuous predictors</w:t>
            </w:r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bookmarkStart w:id="25" w:name="uses-of-regression-models"/>
    <w:p>
      <w:pPr>
        <w:pStyle w:val="Heading2"/>
      </w:pPr>
      <w:r>
        <w:t xml:space="preserve">5.1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4" w:name="relating-the-two-lists"/>
    <w:p>
      <w:pPr>
        <w:pStyle w:val="Heading3"/>
      </w:pPr>
      <w:r>
        <w:t xml:space="preserve">5.1.1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Vittinghoff et al. (2012)</w:t>
      </w:r>
      <w:r>
        <w:t xml:space="preserve">’s</w:t>
      </w:r>
      <w:r>
        <w:t xml:space="preserve"> </w:t>
      </w:r>
      <w:r>
        <w:t xml:space="preserve">“Prediction”</w:t>
      </w:r>
      <w:r>
        <w:t xml:space="preserve"> </w:t>
      </w:r>
      <w:r>
        <w:t xml:space="preserve">corresponds directly</w:t>
      </w:r>
      <w:r>
        <w:t xml:space="preserve"> </w:t>
      </w:r>
      <w:r>
        <w:t xml:space="preserve">to</w:t>
      </w:r>
      <w:r>
        <w:t xml:space="preserve"> </w:t>
      </w:r>
      <w:r>
        <w:t xml:space="preserve">Kleinbaum et al. (2014)</w:t>
      </w:r>
      <w:r>
        <w:t xml:space="preserve">’s Application 2.</w:t>
      </w:r>
    </w:p>
    <w:p>
      <w:pPr>
        <w:pStyle w:val="BodyText"/>
      </w:pPr>
      <w:r>
        <w:t xml:space="preserve">Vittinghoff et al. (2012)</w:t>
      </w:r>
      <w:r>
        <w:t xml:space="preserve">’s</w:t>
      </w:r>
      <w:r>
        <w:t xml:space="preserve"> </w:t>
      </w:r>
      <w:r>
        <w:t xml:space="preserve">“Isolating the Effect of a Single Predictor”</w:t>
      </w:r>
      <w:r>
        <w:t xml:space="preserve"> </w:t>
      </w:r>
      <w:r>
        <w:t xml:space="preserve">corresponds to</w:t>
      </w:r>
      <w:r>
        <w:t xml:space="preserve"> </w:t>
      </w:r>
      <w:r>
        <w:t xml:space="preserve">Kleinbaum et al. (2014)</w:t>
      </w:r>
      <w:r>
        <w:t xml:space="preserve">’s Application 8,</w:t>
      </w:r>
      <w:r>
        <w:t xml:space="preserve"> </w:t>
      </w:r>
      <w:r>
        <w:t xml:space="preserve">which specifically targets accurate estimation of a single adjusted coefficient</w:t>
      </w:r>
      <w:r>
        <w:t xml:space="preserve"> </w:t>
      </w:r>
      <w:r>
        <w:t xml:space="preserve">after controlling for other variables in the model.</w:t>
      </w:r>
    </w:p>
    <w:p>
      <w:pPr>
        <w:pStyle w:val="BodyText"/>
      </w:pPr>
      <w:r>
        <w:t xml:space="preserve">Vittinghoff et al. (2012)</w:t>
      </w:r>
      <w:r>
        <w:t xml:space="preserve">’s</w:t>
      </w:r>
      <w:r>
        <w:t xml:space="preserve"> </w:t>
      </w:r>
      <w:r>
        <w:t xml:space="preserve">“Understanding Multiple Predictors”</w:t>
      </w:r>
      <w:r>
        <w:t xml:space="preserve"> </w:t>
      </w:r>
      <w:r>
        <w:t xml:space="preserve">is the broadest category,</w:t>
      </w:r>
      <w:r>
        <w:t xml:space="preserve"> </w:t>
      </w:r>
      <w:r>
        <w:t xml:space="preserve">encompassing Applications 1, 3, 4, 5, 6, and 7:</w:t>
      </w:r>
      <w:r>
        <w:t xml:space="preserve"> </w:t>
      </w:r>
      <w:r>
        <w:t xml:space="preserve">characterizing the overall association structure (Application 1),</w:t>
      </w:r>
      <w:r>
        <w:t xml:space="preserve"> </w:t>
      </w:r>
      <w:r>
        <w:t xml:space="preserve">describing multiple predictors while controlling for confounders (Application 3),</w:t>
      </w:r>
      <w:r>
        <w:t xml:space="preserve"> </w:t>
      </w:r>
      <w:r>
        <w:t xml:space="preserve">determining which variables matter (Application 4),</w:t>
      </w:r>
      <w:r>
        <w:t xml:space="preserve"> </w:t>
      </w:r>
      <w:r>
        <w:t xml:space="preserve">finding the best-fitting model form (Application 5),</w:t>
      </w:r>
      <w:r>
        <w:t xml:space="preserve"> </w:t>
      </w:r>
      <w:r>
        <w:t xml:space="preserve">comparing regression relationships across subgroups (Application 6),</w:t>
      </w:r>
      <w:r>
        <w:t xml:space="preserve"> </w:t>
      </w:r>
      <w:r>
        <w:t xml:space="preserve">and assessing interaction effects (Application 7).</w:t>
      </w:r>
    </w:p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4"/>
    <w:bookmarkEnd w:id="25"/>
    <w:bookmarkStart w:id="30" w:name="example-adelie-penguins"/>
    <w:p>
      <w:pPr>
        <w:pStyle w:val="Heading2"/>
      </w:pPr>
      <w:r>
        <w:t xml:space="preserve">5.2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29"/>
        </w:tc>
      </w:tr>
    </w:tbl>
    <w:bookmarkEnd w:id="30"/>
    <w:bookmarkStart w:id="35" w:name="linear-regression"/>
    <w:p>
      <w:pPr>
        <w:pStyle w:val="Heading2"/>
      </w:pPr>
      <w:r>
        <w:t xml:space="preserve">5.3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34"/>
        </w:tc>
      </w:tr>
    </w:tbl>
    <w:bookmarkEnd w:id="35"/>
    <w:bookmarkStart w:id="40" w:name="curved-regression-lines"/>
    <w:p>
      <w:pPr>
        <w:pStyle w:val="Heading2"/>
      </w:pPr>
      <w:r>
        <w:t xml:space="preserve">5.4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39"/>
        </w:tc>
      </w:tr>
    </w:tbl>
    <w:bookmarkEnd w:id="40"/>
    <w:bookmarkStart w:id="45" w:name="multiple-regression"/>
    <w:p>
      <w:pPr>
        <w:pStyle w:val="Heading2"/>
      </w:pPr>
      <w:r>
        <w:t xml:space="preserve">5.5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44"/>
        </w:tc>
      </w:tr>
    </w:tbl>
    <w:bookmarkEnd w:id="45"/>
    <w:bookmarkStart w:id="50" w:name="modeling-non-gaussian-outcomes"/>
    <w:p>
      <w:pPr>
        <w:pStyle w:val="Heading2"/>
      </w:pPr>
      <w:r>
        <w:t xml:space="preserve">5.6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49"/>
        </w:tc>
      </w:tr>
    </w:tbl>
    <w:bookmarkEnd w:id="50"/>
    <w:bookmarkStart w:id="55" w:name="why-dont-we-use-linear-regression"/>
    <w:p>
      <w:pPr>
        <w:pStyle w:val="Heading2"/>
      </w:pPr>
      <w:r>
        <w:t xml:space="preserve">5.7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54"/>
        </w:tc>
      </w:tr>
    </w:tbl>
    <w:bookmarkEnd w:id="55"/>
    <w:bookmarkStart w:id="60" w:name="zoom-out"/>
    <w:p>
      <w:pPr>
        <w:pStyle w:val="Heading2"/>
      </w:pPr>
      <w:r>
        <w:t xml:space="preserve">5.8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59"/>
        </w:tc>
      </w:tr>
    </w:tbl>
    <w:bookmarkEnd w:id="60"/>
    <w:bookmarkStart w:id="65" w:name="log-transformation-of-dose"/>
    <w:p>
      <w:pPr>
        <w:pStyle w:val="Heading2"/>
      </w:pPr>
      <w:r>
        <w:t xml:space="preserve">5.9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64"/>
        </w:tc>
      </w:tr>
    </w:tbl>
    <w:bookmarkEnd w:id="65"/>
    <w:bookmarkStart w:id="70" w:name="logistic-regression"/>
    <w:p>
      <w:pPr>
        <w:pStyle w:val="Heading2"/>
      </w:pPr>
      <w:r>
        <w:t xml:space="preserve">5.10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69"/>
        </w:tc>
      </w:tr>
    </w:tbl>
    <w:bookmarkEnd w:id="70"/>
    <w:bookmarkEnd w:id="71"/>
    <w:bookmarkStart w:id="84" w:name="structure-of-regression-models"/>
    <w:p>
      <w:pPr>
        <w:pStyle w:val="Heading1"/>
      </w:pPr>
      <w:r>
        <w:t xml:space="preserve">6.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76"/>
            </w:r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9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8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8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3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inverse: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83"/>
          <w:p/>
        </w:tc>
      </w:tr>
    </w:tbl>
    <w:p>
      <w:r>
        <w:pict>
          <v:rect style="width:0;height:1.5pt" o:hralign="center" o:hrstd="t" o:hr="t"/>
        </w:pict>
      </w:r>
    </w:p>
    <w:bookmarkEnd w:id="84"/>
    <w:bookmarkStart w:id="87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5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8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exr-prac-canonical-link"/>
          <w:p>
            <w:pPr>
              <w:pStyle w:val="BodyText"/>
            </w:pPr>
            <w:r>
              <w:rPr>
                <w:b/>
                <w:bCs/>
              </w:rPr>
              <w:t xml:space="preserve">Exercise 6 (Canonical link functions)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3,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canonical link</w:t>
            </w:r>
            <w:r>
              <w:t xml:space="preserve"> </w:t>
            </w:r>
            <w:r>
              <w:t xml:space="preserve">for a distribution in the exponential family</w:t>
            </w:r>
            <w:r>
              <w:t xml:space="preserve"> </w:t>
            </w:r>
            <w:r>
              <w:t xml:space="preserve">is the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 natural parameter.</w:t>
            </w:r>
          </w:p>
          <w:p>
            <w:pPr>
              <w:pStyle w:val="BodyText"/>
            </w:pPr>
            <w:r>
              <w:t xml:space="preserve">For each distribution below,</w:t>
            </w:r>
            <w:r>
              <w:t xml:space="preserve"> </w:t>
            </w:r>
            <w:r>
              <w:t xml:space="preserve">state the canonical link function</w:t>
            </w:r>
            <w:r>
              <w:t xml:space="preserve"> </w:t>
            </w:r>
            <w:r>
              <w:t xml:space="preserve">and the corresponding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 </w:t>
            </w:r>
            <w:r>
              <w:t xml:space="preserve">is the dispersion parameter: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</w:p>
          <w:bookmarkEnd w:id="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Canonical link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function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nor/>
                        <m:sty m:val="p"/>
                      </m:rPr>
                      <m:t>Var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(a) 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log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(b) 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log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</m:oMath>
                  <w:r>
                    <w:t xml:space="preserve"> </w:t>
                  </w:r>
                  <w:r>
                    <w:t xml:space="preserve">(logit)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(c) Normal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(identity)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nor/>
                        <m:sty m:val="p"/>
                      </m:rPr>
                      <m:t>Var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(d) Gamma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(inverse)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nor/>
                        <m:sty m:val="p"/>
                      </m:rPr>
                      <m:t>Var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</w:tr>
          </w:tbl>
          <w:p>
            <w:pPr>
              <w:pStyle w:val="BodyText"/>
            </w:pPr>
            <w:r>
              <w:t xml:space="preserve">Notes:</w:t>
            </w:r>
          </w:p>
          <w:p>
            <w:pPr>
              <w:numPr>
                <w:ilvl w:val="0"/>
                <w:numId w:val="1031"/>
              </w:numPr>
            </w:pPr>
            <w:r>
              <w:t xml:space="preserve">For the Poisson distribution,</w:t>
            </w:r>
            <w:r>
              <w:t xml:space="preserve"> </w:t>
            </w:r>
            <w:r>
              <w:t xml:space="preserve">the variance equals the mean.</w:t>
            </w:r>
            <w:r>
              <w:t xml:space="preserve"> </w:t>
            </w:r>
            <w:r>
              <w:t xml:space="preserve">Overdispersion occurs when the empirical variance exceeds the mean.</w:t>
            </w:r>
          </w:p>
          <w:p>
            <w:pPr>
              <w:numPr>
                <w:ilvl w:val="0"/>
                <w:numId w:val="1031"/>
              </w:numPr>
            </w:pPr>
            <w:r>
              <w:t xml:space="preserve">For the Bernoulli distribution,</w:t>
            </w:r>
            <w:r>
              <w:t xml:space="preserve"> </w:t>
            </w:r>
            <w:r>
              <w:t xml:space="preserve">the variance is maximized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1"/>
              </w:numPr>
            </w:pPr>
            <w:r>
              <w:t xml:space="preserve">For the Normal distribution,</w:t>
            </w:r>
            <w:r>
              <w:t xml:space="preserve"> </w:t>
            </w:r>
            <w:r>
              <w:t xml:space="preserve">the variance does not depend on the mean;</w:t>
            </w:r>
            <w:r>
              <w:t xml:space="preserve"> </w:t>
            </w:r>
            <w:r>
              <w:t xml:space="preserve">the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31"/>
              </w:numPr>
            </w:pPr>
            <w:r>
              <w:t xml:space="preserve">For the Gamma distribution,</w:t>
            </w:r>
            <w:r>
              <w:t xml:space="preserve"> </w:t>
            </w:r>
            <w:r>
              <w:t xml:space="preserve">the coefficient of variation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SD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constant.</w:t>
            </w:r>
          </w:p>
          <w:p>
            <w:pPr>
              <w:pStyle w:val="FirstParagraph"/>
            </w:pPr>
            <w:r>
              <w:t xml:space="preserve">The log link (not the inverse link) is more commonly used for Gamma regression in practice,</w:t>
            </w:r>
            <w:r>
              <w:t xml:space="preserve"> </w:t>
            </w:r>
            <w:r>
              <w:t xml:space="preserve">because it ensures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gives interpretable multiplicative effects.</w:t>
            </w:r>
          </w:p>
          <w:p/>
        </w:tc>
      </w:tr>
    </w:tbl>
    <w:p>
      <w:pPr>
        <w:pStyle w:val="BodyText"/>
      </w:pPr>
      <w:r>
        <w:t xml:space="preserve">–&gt;</w:t>
      </w:r>
    </w:p>
    <w:bookmarkEnd w:id="87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89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88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89"/>
    <w:bookmarkStart w:id="9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1"/>
    <w:bookmarkStart w:id="93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93"/>
    <w:bookmarkStart w:id="95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94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95"/>
    <w:bookmarkStart w:id="9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7"/>
    <w:bookmarkStart w:id="99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Inc.".</w:t>
      </w:r>
      <w:r>
        <w:t xml:space="preserve"> </w:t>
      </w:r>
      <w:hyperlink r:id="rId98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the appendices</w:t>
        </w:r>
      </w:hyperlink>
      <w:r>
        <w:t xml:space="preserve"> </w:t>
      </w:r>
      <w:r>
        <w:t xml:space="preserve">for a table of notation used in these notes.</w:t>
      </w:r>
    </w:p>
  </w:footnote>
  <w:footnote w:id="7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0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90" Target="https://doi.org/10.1201/9781315182780" TargetMode="External" /><Relationship Type="http://schemas.openxmlformats.org/officeDocument/2006/relationships/hyperlink" Id="rId80" Target="https://en.wikipedia.org/wiki/Dependent_and_independent_variables#Synonyms" TargetMode="External" /><Relationship Type="http://schemas.openxmlformats.org/officeDocument/2006/relationships/hyperlink" Id="rId88" Target="https://link.springer.com/book/10.1007/978-0-387-79054-1" TargetMode="External" /><Relationship Type="http://schemas.openxmlformats.org/officeDocument/2006/relationships/hyperlink" Id="rId92" Target="https://link.springer.com/book/10.1007/978-1-4419-0118-7" TargetMode="External" /><Relationship Type="http://schemas.openxmlformats.org/officeDocument/2006/relationships/hyperlink" Id="rId98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94" Target="https://www.cengage.com/c/applied-regression-analysis-and-other-multivariable-methods-5e-kleinbaum/9781285051086/" TargetMode="External" /><Relationship Type="http://schemas.openxmlformats.org/officeDocument/2006/relationships/hyperlink" Id="rId77" Target="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90" Target="https://doi.org/10.1201/9781315182780" TargetMode="External" /><Relationship Type="http://schemas.openxmlformats.org/officeDocument/2006/relationships/hyperlink" Id="rId80" Target="https://en.wikipedia.org/wiki/Dependent_and_independent_variables#Synonyms" TargetMode="External" /><Relationship Type="http://schemas.openxmlformats.org/officeDocument/2006/relationships/hyperlink" Id="rId88" Target="https://link.springer.com/book/10.1007/978-0-387-79054-1" TargetMode="External" /><Relationship Type="http://schemas.openxmlformats.org/officeDocument/2006/relationships/hyperlink" Id="rId92" Target="https://link.springer.com/book/10.1007/978-1-4419-0118-7" TargetMode="External" /><Relationship Type="http://schemas.openxmlformats.org/officeDocument/2006/relationships/hyperlink" Id="rId98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94" Target="https://www.cengage.com/c/applied-regression-analysis-and-other-multivariable-methods-5e-kleinbaum/9781285051086/" TargetMode="External" /><Relationship Type="http://schemas.openxmlformats.org/officeDocument/2006/relationships/hyperlink" Id="rId77" Target="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2026-05-04T02:51:03Z</dcterms:created>
  <dcterms:modified xsi:type="dcterms:W3CDTF">2026-05-04T02:51:03Z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