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9"/>
    <w:bookmarkStart w:id="1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how the various models we have studied</w:t>
      </w:r>
      <w:r>
        <w:t xml:space="preserve"> </w:t>
      </w:r>
      <w:r>
        <w:t xml:space="preserve">have analogous structures.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model-diagrams"/>
          <w:p>
            <w:pPr>
              <w:pStyle w:val="Compact"/>
              <w:jc w:val="center"/>
            </w:pPr>
            <w:r>
              <w:drawing>
                <wp:inline>
                  <wp:extent cx="5334000" cy="4016188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mages/PXL_20250530_231155564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161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Model Structures</w:t>
            </w:r>
          </w:p>
          <w:bookmarkEnd w:id="13"/>
        </w:tc>
      </w:tr>
    </w:tbl>
    <w:bookmarkEnd w:id="14"/>
    <w:bookmarkStart w:id="15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5"/>
    <w:bookmarkStart w:id="16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6"/>
    <w:bookmarkStart w:id="17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7"/>
    <w:bookmarkStart w:id="19" w:name="references"/>
    <w:p>
      <w:pPr>
        <w:pStyle w:val="Heading1"/>
      </w:pPr>
      <w:r>
        <w:t xml:space="preserve">References</w:t>
      </w:r>
    </w:p>
    <w:bookmarkStart w:id="18" w:name="refs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2026-04-30T21:07:24Z</dcterms:created>
  <dcterms:modified xsi:type="dcterms:W3CDTF">2026-04-30T21:07:24Z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