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29.png" ContentType="image/png"/>
  <Override PartName="/word/media/rId137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‘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’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программирования с использованием подпрограмм и познакомиться с методом отладки</w:t>
      </w:r>
      <w:r>
        <w:t xml:space="preserve"> </w:t>
      </w:r>
      <w:r>
        <w:t xml:space="preserve">‘</w:t>
      </w:r>
      <w:r>
        <w:t xml:space="preserve">GDB</w:t>
      </w:r>
      <w:r>
        <w:t xml:space="preserve">’</w:t>
      </w:r>
    </w:p>
    <w:bookmarkEnd w:id="20"/>
    <w:bookmarkStart w:id="1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выполнения лабораторной работы, переходим в него и создаём файл lab10-1.asm (рис. 1)</w:t>
      </w:r>
    </w:p>
    <w:p>
      <w:pPr>
        <w:pStyle w:val="CaptionedFigure"/>
      </w:pPr>
      <w:bookmarkStart w:id="24" w:name="fig:001"/>
      <w:r>
        <w:drawing>
          <wp:inline>
            <wp:extent cx="5334000" cy="60591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в файл программу из листинга, создаем исполняемый файл и проверяем его работу (рис. 2) и (рис. 3)</w:t>
      </w:r>
    </w:p>
    <w:p>
      <w:pPr>
        <w:pStyle w:val="CaptionedFigure"/>
      </w:pPr>
      <w:bookmarkStart w:id="28" w:name="fig:002"/>
      <w:r>
        <w:drawing>
          <wp:inline>
            <wp:extent cx="2908300" cy="7010400"/>
            <wp:effectExtent b="0" l="0" r="0" t="0"/>
            <wp:docPr descr="Рис. 2: Вводим программу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Вводим программу в файл</w:t>
      </w:r>
    </w:p>
    <w:p>
      <w:pPr>
        <w:pStyle w:val="CaptionedFigure"/>
      </w:pPr>
      <w:bookmarkStart w:id="32" w:name="fig:003"/>
      <w:r>
        <w:drawing>
          <wp:inline>
            <wp:extent cx="5334000" cy="1277696"/>
            <wp:effectExtent b="0" l="0" r="0" t="0"/>
            <wp:docPr descr="Рис. 3: Проверка работы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работы файла</w:t>
      </w:r>
    </w:p>
    <w:p>
      <w:pPr>
        <w:pStyle w:val="BodyText"/>
      </w:pPr>
      <w:r>
        <w:t xml:space="preserve">Добавляем подпрограмму ’_subcalcul’(рис. 4)</w:t>
      </w:r>
    </w:p>
    <w:p>
      <w:pPr>
        <w:pStyle w:val="CaptionedFigure"/>
      </w:pPr>
      <w:bookmarkStart w:id="36" w:name="fig:004"/>
      <w:r>
        <w:drawing>
          <wp:inline>
            <wp:extent cx="2679700" cy="6438900"/>
            <wp:effectExtent b="0" l="0" r="0" t="0"/>
            <wp:docPr descr="Рис. 4: Добавляем подпрограмм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Добавляем подпрограмму</w:t>
      </w:r>
    </w:p>
    <w:p>
      <w:pPr>
        <w:pStyle w:val="BodyText"/>
      </w:pPr>
      <w:r>
        <w:t xml:space="preserve">Проверяем изменённую программу (рис. 5)</w:t>
      </w:r>
    </w:p>
    <w:p>
      <w:pPr>
        <w:pStyle w:val="CaptionedFigure"/>
      </w:pPr>
      <w:bookmarkStart w:id="40" w:name="fig:005"/>
      <w:r>
        <w:drawing>
          <wp:inline>
            <wp:extent cx="5334000" cy="1891709"/>
            <wp:effectExtent b="0" l="0" r="0" t="0"/>
            <wp:docPr descr="Рис. 5: Проверк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программы</w:t>
      </w:r>
    </w:p>
    <w:p>
      <w:pPr>
        <w:pStyle w:val="BodyText"/>
      </w:pPr>
      <w:r>
        <w:t xml:space="preserve">Создаём файл lab10-2.asm и записываем в ного програму из листинга 10.2 (рис. 6)</w:t>
      </w:r>
    </w:p>
    <w:p>
      <w:pPr>
        <w:pStyle w:val="CaptionedFigure"/>
      </w:pPr>
      <w:bookmarkStart w:id="44" w:name="fig:006"/>
      <w:r>
        <w:drawing>
          <wp:inline>
            <wp:extent cx="3263900" cy="6769100"/>
            <wp:effectExtent b="0" l="0" r="0" t="0"/>
            <wp:docPr descr="Рис. 6: Записываем программу из листинг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676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Записываем программу из листинга</w:t>
      </w:r>
    </w:p>
    <w:p>
      <w:pPr>
        <w:pStyle w:val="BodyText"/>
      </w:pPr>
      <w:r>
        <w:t xml:space="preserve">Загружаем исполняемый файл в отладчик gdb (рис. 7)</w:t>
      </w:r>
    </w:p>
    <w:p>
      <w:pPr>
        <w:pStyle w:val="CaptionedFigure"/>
      </w:pPr>
      <w:bookmarkStart w:id="48" w:name="fig:007"/>
      <w:r>
        <w:drawing>
          <wp:inline>
            <wp:extent cx="5334000" cy="2867203"/>
            <wp:effectExtent b="0" l="0" r="0" t="0"/>
            <wp:docPr descr="Рис. 7: Используем отладчик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Используем отладчик</w:t>
      </w:r>
    </w:p>
    <w:p>
      <w:pPr>
        <w:pStyle w:val="BodyText"/>
      </w:pPr>
      <w:r>
        <w:t xml:space="preserve">Запускаем программу с помощью команды run (рис. 8)</w:t>
      </w:r>
    </w:p>
    <w:p>
      <w:pPr>
        <w:pStyle w:val="CaptionedFigure"/>
      </w:pPr>
      <w:bookmarkStart w:id="52" w:name="fig:008"/>
      <w:r>
        <w:drawing>
          <wp:inline>
            <wp:extent cx="5334000" cy="652630"/>
            <wp:effectExtent b="0" l="0" r="0" t="0"/>
            <wp:docPr descr="Рис. 8: Запуск программы в отладчике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в отладчике</w:t>
      </w:r>
    </w:p>
    <w:p>
      <w:pPr>
        <w:pStyle w:val="BodyText"/>
      </w:pPr>
      <w:r>
        <w:t xml:space="preserve">Устанавливаем брейкпоинт на метку _start и далее запускаем её (рис. 9)</w:t>
      </w:r>
    </w:p>
    <w:p>
      <w:pPr>
        <w:pStyle w:val="CaptionedFigure"/>
      </w:pPr>
      <w:bookmarkStart w:id="56" w:name="fig:009"/>
      <w:r>
        <w:drawing>
          <wp:inline>
            <wp:extent cx="5334000" cy="686116"/>
            <wp:effectExtent b="0" l="0" r="0" t="0"/>
            <wp:docPr descr="Рис. 9: Установка брейкпоин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Установка брейкпоинта</w:t>
      </w:r>
    </w:p>
    <w:p>
      <w:pPr>
        <w:pStyle w:val="BodyText"/>
      </w:pPr>
      <w:r>
        <w:t xml:space="preserve">Смотрим дисассимилированнйы код с помощью программы disassemble начиная с метки _start (рис. 10)</w:t>
      </w:r>
    </w:p>
    <w:p>
      <w:pPr>
        <w:pStyle w:val="CaptionedFigure"/>
      </w:pPr>
      <w:bookmarkStart w:id="60" w:name="fig:010"/>
      <w:r>
        <w:drawing>
          <wp:inline>
            <wp:extent cx="5334000" cy="4277032"/>
            <wp:effectExtent b="0" l="0" r="0" t="0"/>
            <wp:docPr descr="Рис. 10: Просмотр дисассимилированного код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Просмотр дисассимилированного кода</w:t>
      </w:r>
    </w:p>
    <w:p>
      <w:pPr>
        <w:pStyle w:val="BodyText"/>
      </w:pPr>
      <w:r>
        <w:t xml:space="preserve">Переключаемся на отображение команд с Intel’овским синтаксисом, введя</w:t>
      </w:r>
      <w:r>
        <w:t xml:space="preserve"> </w:t>
      </w:r>
      <w:r>
        <w:t xml:space="preserve">команду</w:t>
      </w:r>
      <w:r>
        <w:t xml:space="preserve"> </w:t>
      </w:r>
      <w:r>
        <w:t xml:space="preserve">‘</w:t>
      </w:r>
      <w:r>
        <w:t xml:space="preserve">set disassembly-flavor intel</w:t>
      </w:r>
      <w:r>
        <w:t xml:space="preserve">’</w:t>
      </w:r>
      <w:r>
        <w:t xml:space="preserve">. С интеловском синтаксе, в отличие от стандартного, в третьем столбце сначала пишется название регистра(рис. 11)</w:t>
      </w:r>
    </w:p>
    <w:p>
      <w:pPr>
        <w:pStyle w:val="CaptionedFigure"/>
      </w:pPr>
      <w:bookmarkStart w:id="64" w:name="fig:011"/>
      <w:r>
        <w:drawing>
          <wp:inline>
            <wp:extent cx="5334000" cy="4563118"/>
            <wp:effectExtent b="0" l="0" r="0" t="0"/>
            <wp:docPr descr="Рис. 11: Переключение синтаксис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Переключение синтаксиса</w:t>
      </w:r>
    </w:p>
    <w:p>
      <w:pPr>
        <w:pStyle w:val="BodyText"/>
      </w:pPr>
      <w:r>
        <w:t xml:space="preserve">Включаем режим псевдографики для более удобного анализа программы (рис. 12)</w:t>
      </w:r>
    </w:p>
    <w:p>
      <w:pPr>
        <w:pStyle w:val="CaptionedFigure"/>
      </w:pPr>
      <w:bookmarkStart w:id="68" w:name="fig:012"/>
      <w:r>
        <w:drawing>
          <wp:inline>
            <wp:extent cx="5334000" cy="2882713"/>
            <wp:effectExtent b="0" l="0" r="0" t="0"/>
            <wp:docPr descr="Рис. 12: Включение режима псевдографик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Включение режима псевдографики</w:t>
      </w:r>
    </w:p>
    <w:p>
      <w:pPr>
        <w:pStyle w:val="BodyText"/>
      </w:pPr>
      <w:r>
        <w:t xml:space="preserve">Проверяем наличие точки останова с помощью команды info breakpoints (рис. 13)</w:t>
      </w:r>
    </w:p>
    <w:p>
      <w:pPr>
        <w:pStyle w:val="CaptionedFigure"/>
      </w:pPr>
      <w:bookmarkStart w:id="72" w:name="fig:013"/>
      <w:r>
        <w:drawing>
          <wp:inline>
            <wp:extent cx="5334000" cy="855362"/>
            <wp:effectExtent b="0" l="0" r="0" t="0"/>
            <wp:docPr descr="Рис. 13: Проверка точки останов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точки останова</w:t>
      </w:r>
    </w:p>
    <w:p>
      <w:pPr>
        <w:pStyle w:val="BodyText"/>
      </w:pPr>
      <w:r>
        <w:t xml:space="preserve">Устанавливаем ещё одну точку установа по адресу инструкции и смотрим информауию о всех точках останова(рис. 14)</w:t>
      </w:r>
    </w:p>
    <w:p>
      <w:pPr>
        <w:pStyle w:val="CaptionedFigure"/>
      </w:pPr>
      <w:bookmarkStart w:id="76" w:name="fig:014"/>
      <w:r>
        <w:drawing>
          <wp:inline>
            <wp:extent cx="5334000" cy="3698239"/>
            <wp:effectExtent b="0" l="0" r="0" t="0"/>
            <wp:docPr descr="Рис. 14: Установка второй точки останов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Установка второй точки останова</w:t>
      </w:r>
    </w:p>
    <w:p>
      <w:pPr>
        <w:pStyle w:val="BodyText"/>
      </w:pPr>
      <w:r>
        <w:t xml:space="preserve">Просматриваем содержимое регистров с помощью команды info registers (рис. 15)</w:t>
      </w:r>
    </w:p>
    <w:p>
      <w:pPr>
        <w:pStyle w:val="CaptionedFigure"/>
      </w:pPr>
      <w:bookmarkStart w:id="80" w:name="fig:015"/>
      <w:r>
        <w:drawing>
          <wp:inline>
            <wp:extent cx="1727200" cy="342900"/>
            <wp:effectExtent b="0" l="0" r="0" t="0"/>
            <wp:docPr descr="Рис. 15: Просмотр содержимого регистров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Просмотр содержимого регистров</w:t>
      </w:r>
    </w:p>
    <w:p>
      <w:pPr>
        <w:pStyle w:val="BodyText"/>
      </w:pPr>
      <w:r>
        <w:t xml:space="preserve">Просматриваем значение переменной msg1 по имени (рис. 16)</w:t>
      </w:r>
    </w:p>
    <w:p>
      <w:pPr>
        <w:pStyle w:val="CaptionedFigure"/>
      </w:pPr>
      <w:bookmarkStart w:id="84" w:name="fig:016"/>
      <w:r>
        <w:drawing>
          <wp:inline>
            <wp:extent cx="4330700" cy="533400"/>
            <wp:effectExtent b="0" l="0" r="0" t="0"/>
            <wp:docPr descr="Рис. 16: Просмотр значения msg1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Просмотр значения msg1</w:t>
      </w:r>
    </w:p>
    <w:p>
      <w:pPr>
        <w:pStyle w:val="BodyText"/>
      </w:pPr>
      <w:r>
        <w:t xml:space="preserve">Просматриваем значение переменной msg2 по адресу(рис. 17)</w:t>
      </w:r>
    </w:p>
    <w:p>
      <w:pPr>
        <w:pStyle w:val="CaptionedFigure"/>
      </w:pPr>
      <w:bookmarkStart w:id="88" w:name="fig:017"/>
      <w:r>
        <w:drawing>
          <wp:inline>
            <wp:extent cx="3975100" cy="838200"/>
            <wp:effectExtent b="0" l="0" r="0" t="0"/>
            <wp:docPr descr="Рис. 17: Просмотр значения msg2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Просмотр значения msg2</w:t>
      </w:r>
    </w:p>
    <w:p>
      <w:pPr>
        <w:pStyle w:val="BodyText"/>
      </w:pPr>
      <w:r>
        <w:t xml:space="preserve">Изменим первый символ переменной msg1 с помощью команды set(рис. 18)</w:t>
      </w:r>
    </w:p>
    <w:p>
      <w:pPr>
        <w:pStyle w:val="CaptionedFigure"/>
      </w:pPr>
      <w:bookmarkStart w:id="92" w:name="fig:018"/>
      <w:r>
        <w:drawing>
          <wp:inline>
            <wp:extent cx="3949700" cy="1054100"/>
            <wp:effectExtent b="0" l="0" r="0" t="0"/>
            <wp:docPr descr="Рис. 18: Изменяем символ в переменной msg1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Изменяем символ в переменной msg1</w:t>
      </w:r>
    </w:p>
    <w:p>
      <w:pPr>
        <w:pStyle w:val="BodyText"/>
      </w:pPr>
      <w:r>
        <w:t xml:space="preserve">Также заменим символ в перменной msg2(рис. 19)</w:t>
      </w:r>
    </w:p>
    <w:p>
      <w:pPr>
        <w:pStyle w:val="CaptionedFigure"/>
      </w:pPr>
      <w:bookmarkStart w:id="96" w:name="fig:019"/>
      <w:r>
        <w:drawing>
          <wp:inline>
            <wp:extent cx="4622800" cy="1181100"/>
            <wp:effectExtent b="0" l="0" r="0" t="0"/>
            <wp:docPr descr="Рис. 19: Изменим символ в msg2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Изменим символ в msg2</w:t>
      </w:r>
    </w:p>
    <w:p>
      <w:pPr>
        <w:pStyle w:val="BodyText"/>
      </w:pPr>
      <w:r>
        <w:t xml:space="preserve">Выведем значения регистра edx в разных форматах(рис. 20)</w:t>
      </w:r>
    </w:p>
    <w:p>
      <w:pPr>
        <w:pStyle w:val="CaptionedFigure"/>
      </w:pPr>
      <w:bookmarkStart w:id="100" w:name="fig:020"/>
      <w:r>
        <w:drawing>
          <wp:inline>
            <wp:extent cx="1689100" cy="1562100"/>
            <wp:effectExtent b="0" l="0" r="0" t="0"/>
            <wp:docPr descr="Рис. 20: Вывод значения регистра edx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Вывод значения регистра edx</w:t>
      </w:r>
    </w:p>
    <w:p>
      <w:pPr>
        <w:pStyle w:val="BodyText"/>
      </w:pPr>
      <w:r>
        <w:t xml:space="preserve">С помощью команды set изменим значение регистра ebx. C p/s выводит значение в символьном виде(рис. 21)</w:t>
      </w:r>
    </w:p>
    <w:p>
      <w:pPr>
        <w:pStyle w:val="CaptionedFigure"/>
      </w:pPr>
      <w:bookmarkStart w:id="104" w:name="fig:021"/>
      <w:r>
        <w:drawing>
          <wp:inline>
            <wp:extent cx="2222500" cy="1905000"/>
            <wp:effectExtent b="0" l="0" r="0" t="0"/>
            <wp:docPr descr="Рис. 21: Изменяем значение ebx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Изменяем значение ebx</w:t>
      </w:r>
    </w:p>
    <w:p>
      <w:pPr>
        <w:pStyle w:val="BodyText"/>
      </w:pPr>
      <w:r>
        <w:t xml:space="preserve">Завершаем выполнение программы с помощью</w:t>
      </w:r>
      <w:r>
        <w:t xml:space="preserve"> </w:t>
      </w:r>
      <w:r>
        <w:t xml:space="preserve">‘</w:t>
      </w:r>
      <w:r>
        <w:t xml:space="preserve">countinue</w:t>
      </w:r>
      <w:r>
        <w:t xml:space="preserve">’</w:t>
      </w:r>
      <w:r>
        <w:t xml:space="preserve">(рис. 22)</w:t>
      </w:r>
    </w:p>
    <w:p>
      <w:pPr>
        <w:pStyle w:val="CaptionedFigure"/>
      </w:pPr>
      <w:bookmarkStart w:id="108" w:name="fig:022"/>
      <w:r>
        <w:drawing>
          <wp:inline>
            <wp:extent cx="5092700" cy="1358900"/>
            <wp:effectExtent b="0" l="0" r="0" t="0"/>
            <wp:docPr descr="Рис. 22: Завершаем выполнение программы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Завершаем выполнение программы</w:t>
      </w:r>
    </w:p>
    <w:p>
      <w:pPr>
        <w:pStyle w:val="BodyText"/>
      </w:pPr>
      <w:r>
        <w:t xml:space="preserve">Копируем файл созданный при выполнении лабораторной работы номер девять и создайм исполняемый файл(рис. 23)</w:t>
      </w:r>
    </w:p>
    <w:p>
      <w:pPr>
        <w:pStyle w:val="CaptionedFigure"/>
      </w:pPr>
      <w:bookmarkStart w:id="112" w:name="fig:023"/>
      <w:r>
        <w:drawing>
          <wp:inline>
            <wp:extent cx="5334000" cy="667422"/>
            <wp:effectExtent b="0" l="0" r="0" t="0"/>
            <wp:docPr descr="Рис. 23: Создание исполняемого файла для программы из девятой лабораторной работы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Создание исполняемого файла для программы из девятой лабораторной работы</w:t>
      </w:r>
    </w:p>
    <w:p>
      <w:pPr>
        <w:pStyle w:val="BodyText"/>
      </w:pPr>
      <w:r>
        <w:t xml:space="preserve">Загружаем в gdb программу с аргументами используя ключ –args(рис. 24)</w:t>
      </w:r>
    </w:p>
    <w:p>
      <w:pPr>
        <w:pStyle w:val="CaptionedFigure"/>
      </w:pPr>
      <w:bookmarkStart w:id="116" w:name="fig:024"/>
      <w:r>
        <w:drawing>
          <wp:inline>
            <wp:extent cx="5334000" cy="1418617"/>
            <wp:effectExtent b="0" l="0" r="0" t="0"/>
            <wp:docPr descr="Рис. 24: Зазружаем в gdb программу с агрументами" title="" id="114" name="Picture"/>
            <a:graphic>
              <a:graphicData uri="http://schemas.openxmlformats.org/drawingml/2006/picture">
                <pic:pic>
                  <pic:nvPicPr>
                    <pic:cNvPr descr="image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Зазружаем в gdb программу с агрументами</w:t>
      </w:r>
    </w:p>
    <w:p>
      <w:pPr>
        <w:pStyle w:val="BodyText"/>
      </w:pPr>
      <w:r>
        <w:t xml:space="preserve">Устанавливаем точку останова перед первой инструкцией и запускаем её(рис. 25)</w:t>
      </w:r>
    </w:p>
    <w:p>
      <w:pPr>
        <w:pStyle w:val="CaptionedFigure"/>
      </w:pPr>
      <w:bookmarkStart w:id="120" w:name="fig:025"/>
      <w:r>
        <w:drawing>
          <wp:inline>
            <wp:extent cx="5334000" cy="850556"/>
            <wp:effectExtent b="0" l="0" r="0" t="0"/>
            <wp:docPr descr="Рис. 25: Делаем точку останова и запускаем инструкцию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25: Делаем точку останова и запускаем инструкцию</w:t>
      </w:r>
    </w:p>
    <w:p>
      <w:pPr>
        <w:pStyle w:val="BodyText"/>
      </w:pPr>
      <w:r>
        <w:t xml:space="preserve">Посмотрим различные позиции стека(рис. 26)</w:t>
      </w:r>
    </w:p>
    <w:p>
      <w:pPr>
        <w:pStyle w:val="CaptionedFigure"/>
      </w:pPr>
      <w:bookmarkStart w:id="124" w:name="fig:026"/>
      <w:r>
        <w:drawing>
          <wp:inline>
            <wp:extent cx="5334000" cy="3959782"/>
            <wp:effectExtent b="0" l="0" r="0" t="0"/>
            <wp:docPr descr="Рис. 26: Смотрим позиции стека" title="" id="122" name="Picture"/>
            <a:graphic>
              <a:graphicData uri="http://schemas.openxmlformats.org/drawingml/2006/picture">
                <pic:pic>
                  <pic:nvPicPr>
                    <pic:cNvPr descr="image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26: Смотрим позиции стека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Напишем программу из лабораторной работы номер девять и реальзуем в ней вычисление функции через подпрограмму(рис. 27)</w:t>
      </w:r>
    </w:p>
    <w:p>
      <w:pPr>
        <w:pStyle w:val="CaptionedFigure"/>
      </w:pPr>
      <w:bookmarkStart w:id="128" w:name="fig:027"/>
      <w:r>
        <w:drawing>
          <wp:inline>
            <wp:extent cx="5334000" cy="7945958"/>
            <wp:effectExtent b="0" l="0" r="0" t="0"/>
            <wp:docPr descr="Рис. 27: Написанная программа" title="" id="126" name="Picture"/>
            <a:graphic>
              <a:graphicData uri="http://schemas.openxmlformats.org/drawingml/2006/picture">
                <pic:pic>
                  <pic:nvPicPr>
                    <pic:cNvPr descr="image/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27: Написанная программа</w:t>
      </w:r>
    </w:p>
    <w:p>
      <w:pPr>
        <w:pStyle w:val="BodyText"/>
      </w:pPr>
      <w:r>
        <w:t xml:space="preserve">Проверяем нашу программу(рис. 28)</w:t>
      </w:r>
    </w:p>
    <w:p>
      <w:pPr>
        <w:pStyle w:val="CaptionedFigure"/>
      </w:pPr>
      <w:bookmarkStart w:id="132" w:name="fig:028"/>
      <w:r>
        <w:drawing>
          <wp:inline>
            <wp:extent cx="5334000" cy="1335314"/>
            <wp:effectExtent b="0" l="0" r="0" t="0"/>
            <wp:docPr descr="Рис. 28: Проверка программы" title="" id="130" name="Picture"/>
            <a:graphic>
              <a:graphicData uri="http://schemas.openxmlformats.org/drawingml/2006/picture">
                <pic:pic>
                  <pic:nvPicPr>
                    <pic:cNvPr descr="image/28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Рис. 28: Проверка программы</w:t>
      </w:r>
    </w:p>
    <w:p>
      <w:pPr>
        <w:pStyle w:val="BodyText"/>
      </w:pPr>
      <w:r>
        <w:t xml:space="preserve">Испровляем программу для вычилсения умножения, поменяв регистры местами (там умножался на 4 не регистр ebx, f htubcnh eax)(рис. 29)</w:t>
      </w:r>
    </w:p>
    <w:p>
      <w:pPr>
        <w:pStyle w:val="CaptionedFigure"/>
      </w:pPr>
      <w:bookmarkStart w:id="136" w:name="fig:029"/>
      <w:r>
        <w:drawing>
          <wp:inline>
            <wp:extent cx="2870200" cy="5765800"/>
            <wp:effectExtent b="0" l="0" r="0" t="0"/>
            <wp:docPr descr="Рис. 29: Исправленная программа" title="" id="134" name="Picture"/>
            <a:graphic>
              <a:graphicData uri="http://schemas.openxmlformats.org/drawingml/2006/picture">
                <pic:pic>
                  <pic:nvPicPr>
                    <pic:cNvPr descr="image/29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76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Рис. 29: Исправленная программа</w:t>
      </w:r>
    </w:p>
    <w:p>
      <w:pPr>
        <w:pStyle w:val="BodyText"/>
      </w:pPr>
      <w:r>
        <w:t xml:space="preserve">Проверяем исправленную программу(рис. 30)</w:t>
      </w:r>
    </w:p>
    <w:p>
      <w:pPr>
        <w:pStyle w:val="CaptionedFigure"/>
      </w:pPr>
      <w:bookmarkStart w:id="140" w:name="fig:030"/>
      <w:r>
        <w:drawing>
          <wp:inline>
            <wp:extent cx="5334000" cy="464343"/>
            <wp:effectExtent b="0" l="0" r="0" t="0"/>
            <wp:docPr descr="Рис. 30: Полученный результат" title="" id="138" name="Picture"/>
            <a:graphic>
              <a:graphicData uri="http://schemas.openxmlformats.org/drawingml/2006/picture">
                <pic:pic>
                  <pic:nvPicPr>
                    <pic:cNvPr descr="image/3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Рис. 30: Полученный результат</w:t>
      </w:r>
    </w:p>
    <w:bookmarkEnd w:id="141"/>
    <w:bookmarkStart w:id="1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навыки программирования с использованием подпрограмм и познакомился с методом отладки</w:t>
      </w:r>
      <w:r>
        <w:t xml:space="preserve"> </w:t>
      </w:r>
      <w:r>
        <w:t xml:space="preserve">‘</w:t>
      </w:r>
      <w:r>
        <w:t xml:space="preserve">GDB</w:t>
      </w:r>
      <w:r>
        <w:t xml:space="preserve">’</w:t>
      </w:r>
    </w:p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Бабенко Роман Игоревич</dc:creator>
  <dc:language>ru-RU</dc:language>
  <cp:keywords/>
  <dcterms:created xsi:type="dcterms:W3CDTF">2022-12-15T15:17:04Z</dcterms:created>
  <dcterms:modified xsi:type="dcterms:W3CDTF">2022-12-15T15:17:04Z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‘архитектура компьютеров’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