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  <w:highlight w:val="lightGray"/>
        </w:rPr>
        <w:t xml:space="preserve">[Şablon notu: İlk derece mahkemesi kararına karşı istinaf dilekçesi taslağıdır. Süre, kararın usulen tebliğinden itibaren iki haftadır (HMK md. 345). Dilekçe kararı veren mahkemeye verilir ve HMK md. 342'deki unsurları içermelidir; karşı taraf sayısı kadar örnek eklenir. Süre hesabı için mikeTR'nin süre hesaplama aracını kullanabilirsiniz. Dilekçeyi vermeden önce bu notu silin.]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[BÖLGE ADLİYE MAHKEMESİ]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İLGİLİ HUKUK DAİRESİ'NE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Gönderilmek üzere: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[İL]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[NUMARA]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[MAHKEME ADI]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MAHKEMESİ'NE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DOSYA NO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[YYYY/NNNN]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Esas,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[YYYY/NNNN]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Karar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İSTİNAF EDEN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[Davadaki sıfatı]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VEKİLİ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KARŞI TARAF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[Davadaki sıfatı]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KARAR TARİHİ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TEBLİĞ TARİHİ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[Kararın başvurana tebliğ edildiği tarih]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KONU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Yukarıda numarası yazılı kararın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[kaldırılması / düzeltilmesi]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istemiyle istinaf başvurusudur.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KARARIN ÖZETİ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[İlk derece mahkemesinin verdiği kararın kısa özeti.]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İSTİNAF SEBEPLERİ	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[Usule aykırılıklar: ör. delillerin toplanmaması, savunma hakkının kısıtlanması, gerekçesiz karar.]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[Esasa ilişkin hatalar: maddi olguların ve delillerin yanlış değerlendirilmesi, hukukun yanlış uygulanması.]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HUKUKİ SEBEPLER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HMK md. 341 vd., md. 342, 345, 353 ve 355;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[dayanılan diğer maddeler]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SONUÇ VE İSTEM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Yukarıda açıklanan ve re'sen gözetilecek nedenlerle; ilk derece mahkemesi kararının kaldırılarak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[davanın kabulüne / reddine]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veya dosyanın yeniden görülmek üzere ilk derece mahkemesine gönderilmesine karar verilmesini saygıyla arz ve talep ederiz.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İstinaf Eden Vekili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[e-imzalıdır / imza]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İstinaf Başvuru Dilekçesi (HMK 342-345)</dc:title>
  <dc:creator>mikeTR</dc:creator>
  <cp:lastModifiedBy>Un-named</cp:lastModifiedBy>
  <cp:revision>1</cp:revision>
  <dcterms:created xsi:type="dcterms:W3CDTF">2026-10-26T11:08:22.916Z</dcterms:created>
  <dcterms:modified xsi:type="dcterms:W3CDTF">2026-10-26T11:08:22.916Z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