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  <w:highlight w:val="lightGray"/>
        </w:rPr>
        <w:t xml:space="preserve">[Şablon notu: TBK md. 315'e göre süre verilip fesih uyarısı yapıldıktan sonra kira bedeli ödenmediğinde tahliye davası taslağıdır. Dava yoluyla tahliyede dava açmadan önce arabulucuya başvurmak dava şartıdır (HUAK md. 18/B; ilamsız icra yoluyla tahliye bunun dışındadır). Görevli mahkeme sulh hukuk mahkemesidir. Dilekçeyi vermeden önce bu notu silin.]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</w:rPr>
        <w:t xml:space="preserve">[İL]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NÖBETÇİ SULH HUKUK MAHKEMESİ'NE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DAVACI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 Soyad / Unvan]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T.C. Kimlik No: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[...]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[Adres]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VEKİLİ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[Av. Ad Soyad]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[Baro, sicil 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[Adres, UETS adresi]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DAVALI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 Soyad / Unvan]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[T.C. Kimlik No / MERSİS 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[Adres]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KONU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Kira bedelinin ödenmemesi nedeniyle feshedilen kira sözleşmesine dayanılarak kiralananın tahliyesi talebidir.</w:t>
      </w:r>
    </w:p>
    <w:p>
      <w:pPr>
        <w:tabs>
          <w:tab w:val="left" w:pos="2835"/>
          <w:tab w:val="left" w:pos="3119"/>
        </w:tabs>
        <w:spacing w:after="60"/>
        <w:ind w:left="3119" w:hanging="311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DAVA DEĞERİ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:	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[Yıllık kira bedeli]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TL</w:t>
      </w:r>
    </w:p>
    <w:p>
      <w:pPr>
        <w:tabs>
          <w:tab w:val="left" w:pos="2835"/>
        </w:tabs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AÇIKLAMALAR	: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Davalı, müvekkilime ait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[adres]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adresindeki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[konut / çatılı işyeri]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nitelikli taşınmazı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[tarih]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başlangıç tarihli kira sözleşmesiyle aylık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[tutar]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TL bedelle kiralamıştır.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Davalı, kiralananın tesliminden sonra muaccel olan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[ay/yıl - ay/yıl]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dönemlerine ait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[tutar]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TL kira bedelini ödememiştir.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Davalıya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[noter, tarih, yevmiye 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ihtarname ile, tebliğini izleyen günden itibaren otuz gün içinde ödeme yapmaması hâlinde sözleşmenin feshedileceği bildirilmiştir. İhtarname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[tebliğ tarihi]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tarihinde tebliğ edilmiş, verilen süre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[sürenin son günü]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tarihinde dolmuş, ancak ödeme yapılmamıştır (TBK md. 315).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Dava açılmadan önce arabulucuya başvurulmuş,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[tarih]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tarihli son tutanakla anlaşma sağlanamamıştır (HUAK md. 18/B).</w:t>
      </w:r>
    </w:p>
    <w:p>
      <w:pPr>
        <w:tabs>
          <w:tab w:val="left" w:pos="2835"/>
        </w:tabs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HUKUKİ SEBEPLER	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TBK md. 315; HUAK md. 18/B; HMK ve ilgili mevzuat.</w:t>
      </w:r>
    </w:p>
    <w:p>
      <w:pPr>
        <w:tabs>
          <w:tab w:val="left" w:pos="2835"/>
        </w:tabs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DELİLLER	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[Kira sözleşmesi]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[ihtarname ve tebliğ şerhi]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[ödeme kayıtları / banka dökümleri]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[arabuluculuk son tutanağı]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tanık ve her türlü yasal delil.</w:t>
      </w:r>
    </w:p>
    <w:p>
      <w:pPr>
        <w:tabs>
          <w:tab w:val="left" w:pos="2835"/>
        </w:tabs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SONUÇ VE İSTEM	: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Yukarıda açıklanan nedenlerle; kiralananın davalıdan tahliyesine, yargılama giderleri ve vekâlet ücretinin davalıya yükletilmesine karar verilmesini saygıyla arz ve talep ederiz.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[Tarih]</w:t>
      </w:r>
    </w:p>
    <w:p>
      <w:pPr>
        <w:spacing w:befor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Davacı Vekili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[Av. Ad Soyad]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[e-imzalıdır / imza]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EKLER: 1- Vekâletname 2-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[Kira sözleşmesi]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3-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[İhtarname ve tebliğ şerhi]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4-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</w:rPr>
        <w:t xml:space="preserve">[Arabuluculuk son tutanağı]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Kiracının Temerrüdü Nedeniyle Tahliye Dava Dilekçesi (TBK 315)</dc:title>
  <dc:creator>mikeTR</dc:creator>
  <cp:lastModifiedBy>Un-named</cp:lastModifiedBy>
  <cp:revision>1</cp:revision>
  <dcterms:created xsi:type="dcterms:W3CDTF">2026-10-26T11:08:22.897Z</dcterms:created>
  <dcterms:modified xsi:type="dcterms:W3CDTF">2026-10-26T11:08:22.897Z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