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–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–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pPr>
        <w:spacing w:before="200" w:after="320"/>
      </w:pPr>
      <w:hyperlink r:id="rId11">
        <w:r>
          <w:rPr>
            <w:rFonts w:ascii="Arial" w:hAnsi="Arial"/>
            <w:color w:val="FF2626"/>
            <w:sz w:val="22"/>
          </w:rPr>
          <w:t>Ссылка на мероприятие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–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–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–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–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–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–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–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– музыка композиторов из разных регионов России, с вниманием к молодым авторам. Квартет регулярно заказывает новые сочинения и играет их по всей стране –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–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–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–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–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–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–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–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–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–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–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–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