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9716" w14:textId="77777777" w:rsidR="00D5209B" w:rsidRDefault="00D5209B">
      <w:pPr>
        <w:spacing w:line="600" w:lineRule="atLeast"/>
        <w:jc w:val="center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</w:rPr>
        <w:t>주택임대차보호법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(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약칭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: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주택임대차법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)</w:t>
      </w:r>
    </w:p>
    <w:p w14:paraId="710F10A3" w14:textId="77777777" w:rsidR="00D5209B" w:rsidRDefault="00D5209B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7. 19.]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19356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4. 18.,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69FE41C3" w14:textId="77777777" w:rsidR="00D5209B" w:rsidRDefault="00D5209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법무부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법무심의관실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02-2110-3164</w:t>
      </w:r>
    </w:p>
    <w:p w14:paraId="5A2DBC1E" w14:textId="77777777" w:rsidR="00D5209B" w:rsidRDefault="00D5209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국토교통부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주택정책과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044-201-3321, 3334, 4177</w:t>
      </w:r>
    </w:p>
    <w:p w14:paraId="2796A26B" w14:textId="77777777" w:rsidR="00D5209B" w:rsidRDefault="00D5209B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58E19C57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賃貸借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주거생활의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보장함을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2379BA8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0A5B650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3EC38F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임차주택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賃借住宅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55E129E0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3A1069F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BEF32B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대항력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登記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賃借人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引渡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제삼자에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전입신고를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2836D7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저소득층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무주택자에게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주거생활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전세임대주택을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입주자가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6.&gt;</w:t>
      </w:r>
    </w:p>
    <w:p w14:paraId="570A8A6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「중소기업기본법」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임대차가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제삼자에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4A6D538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讓受人</w:t>
      </w:r>
      <w:r>
        <w:rPr>
          <w:rFonts w:ascii="HYSMyeongJo-Medium" w:hAnsi="HYSMyeongJo-Medium" w:cs="HYSMyeongJo-Medium"/>
          <w:sz w:val="20"/>
          <w:szCs w:val="20"/>
        </w:rPr>
        <w:t>)(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賃貸人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5F2A83B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매매나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7D0CC2B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동시이행의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항변권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抗辯權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6D98187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7EEF697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ADEB26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임차주택에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보증금반환청구소송의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확정판결이나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집행권원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執行權原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집행개시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執行開始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「민사집행법」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반대의무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反對義務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이행이나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집행개시의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8. 13.&gt;</w:t>
      </w:r>
    </w:p>
    <w:p w14:paraId="4822E07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대항요건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對抗要件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>계약증서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確定日字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환가대금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換價代金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후순위권리자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後順位權利者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辨濟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7D099F3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52D584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경매법원이나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67A11D5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161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EEB82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이의신청일부터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留保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유보된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231C1A3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보증금반환채권을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</w:t>
      </w:r>
      <w:r>
        <w:rPr>
          <w:rFonts w:ascii="HYSMyeongJo-Medium" w:hAnsi="HYSMyeongJo-Medium" w:cs="HYSMyeongJo-Medium"/>
          <w:sz w:val="20"/>
          <w:szCs w:val="20"/>
        </w:rPr>
        <w:t>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13., 2015. 1. 6., 2016. 5. 29.&gt;</w:t>
      </w:r>
    </w:p>
    <w:p w14:paraId="0827A773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</w:t>
      </w:r>
    </w:p>
    <w:p w14:paraId="744FA1F8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「중소기업은행법」에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중소기업은행</w:t>
      </w:r>
    </w:p>
    <w:p w14:paraId="2E0593F7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「한국산업은행법」에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한국산업은행</w:t>
      </w:r>
    </w:p>
    <w:p w14:paraId="270A41B9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「농업협동조합법」에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농협은행</w:t>
      </w:r>
    </w:p>
    <w:p w14:paraId="4F882BA0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「수산업협동조합법」에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수협은행</w:t>
      </w:r>
    </w:p>
    <w:p w14:paraId="35FE75AA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「우체국예금ㆍ보험에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</w:t>
      </w:r>
    </w:p>
    <w:p w14:paraId="7DF4BABE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「한국주택금융공사법」에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한국주택금융공사</w:t>
      </w:r>
    </w:p>
    <w:p w14:paraId="30AD0FDF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호라목의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보증보험을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보험종목으로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</w:t>
      </w:r>
    </w:p>
    <w:p w14:paraId="7A46B9CC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「주택도시기금법」에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주택도시보증공사</w:t>
      </w:r>
    </w:p>
    <w:p w14:paraId="0652B482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</w:p>
    <w:p w14:paraId="2DE39A3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금융기관등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0F9F4822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C9EFD44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</w:t>
      </w:r>
      <w:r>
        <w:rPr>
          <w:rFonts w:ascii="HYSMyeongJo-Medium" w:hAnsi="HYSMyeongJo-Medium" w:cs="HYSMyeongJo-Medium"/>
          <w:sz w:val="20"/>
          <w:szCs w:val="20"/>
        </w:rPr>
        <w:t>차권등기가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A670D65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E79A08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2B11184A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49DDAB4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8004E7B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임차권등기명령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지방법원ㆍ지방법원지원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시ㆍ군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임차권등기명령을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8. 13.&gt;</w:t>
      </w:r>
    </w:p>
    <w:p w14:paraId="1ECFAB6A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疎明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1FEFB61C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</w:t>
      </w:r>
    </w:p>
    <w:p w14:paraId="4A2A1747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BCBE718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임차권등기의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686D5790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5C512F8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가압류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임차권등기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채권자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채무자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18.&gt;</w:t>
      </w:r>
    </w:p>
    <w:p w14:paraId="34757DE6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</w:p>
    <w:p w14:paraId="1A6BB72D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</w:p>
    <w:p w14:paraId="315EEBED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</w:t>
      </w:r>
    </w:p>
    <w:p w14:paraId="218DADE1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</w:t>
      </w:r>
    </w:p>
    <w:p w14:paraId="53544EDA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棄却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抗告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61F14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임차권등기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13.&gt;</w:t>
      </w:r>
    </w:p>
    <w:p w14:paraId="1C72738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C7057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囑託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등기관의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記入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12.&gt;</w:t>
      </w:r>
    </w:p>
    <w:p w14:paraId="07299700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929CB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금융기관등은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임차권등기명령을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금융기관등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3. 8. 13.&gt;</w:t>
      </w:r>
    </w:p>
    <w:p w14:paraId="5092D76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2C5F13E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8ADA82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「민법」에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주택임대차등기의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효력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621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주택임대차등기의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7ED8E6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대항력이나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「부동산등기법」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12., 2020. 2. 4.&gt;</w:t>
      </w:r>
    </w:p>
    <w:p w14:paraId="5F7D1C2C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주민등록을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5DAEAF81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임차주택을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占有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118FDACE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임대차계약증서상의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14:paraId="56C9DCB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1926189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589980A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임차주택에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「민사집행법」에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행하여진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競落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>,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대항력이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A9AB34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4BDC064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EAA691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확정일자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정보제공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읍ㆍ면사무소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주민센터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특별시ㆍ광역시ㆍ특별자치시는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ㆍ군ㆍ구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자치구를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출장소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지방법원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「공증인법」에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공증인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확정일자부여기관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</w:t>
      </w:r>
      <w:r>
        <w:rPr>
          <w:rFonts w:ascii="HYSMyeongJo-Medium" w:eastAsia="HY중고딕" w:hAnsi="HYSMyeongJo-Medium" w:cs="HYSMyeongJo-Medium"/>
          <w:sz w:val="20"/>
          <w:szCs w:val="20"/>
        </w:rPr>
        <w:t>여한다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F04E66A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전산처리정보조직을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082CE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AF5CD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</w:t>
      </w:r>
      <w:r>
        <w:rPr>
          <w:rFonts w:ascii="HYSMyeongJo-Medium" w:hAnsi="HYSMyeongJo-Medium" w:cs="HYSMyeongJo-Medium"/>
          <w:sz w:val="20"/>
          <w:szCs w:val="20"/>
        </w:rPr>
        <w:t>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8912BA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A017A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이해관계가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확정일자부여기관에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확정일자부여사무와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대법원규칙으로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B8305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13.]</w:t>
      </w:r>
    </w:p>
    <w:p w14:paraId="7A237AA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25DA62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D37C52E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부여일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945EE8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납세증명서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미납국세와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「지방세징수법」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미납지방세의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09EB6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4. 18.]</w:t>
      </w:r>
    </w:p>
    <w:p w14:paraId="5997E73E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8F0ACB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유효함을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19DDC5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1B0A8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08. 3. 21.]</w:t>
      </w:r>
    </w:p>
    <w:p w14:paraId="5871140C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51AF332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&lt;1989. 12. 30.&gt;</w:t>
      </w:r>
    </w:p>
    <w:p w14:paraId="75F068AD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14:paraId="22ECB8CC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갱신거절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更新拒絶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계약조건을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14:paraId="6E7A3F00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14:paraId="62CFDB7C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借賃額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임차인으로서의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2400E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0F42B9F8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E506BC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묵시적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갱신의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갱신된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언제든지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계약해지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契約解止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2009. 5. 8.&gt;</w:t>
      </w:r>
    </w:p>
    <w:p w14:paraId="2640112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DE90C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2F65286A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CC4998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계약갱신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계약갱신을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거절하지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63029F3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</w:t>
      </w:r>
      <w:r>
        <w:rPr>
          <w:rFonts w:ascii="HYSMyeongJo-Medium" w:hAnsi="HYSMyeongJo-Medium" w:cs="HYSMyeongJo-Medium"/>
          <w:sz w:val="20"/>
          <w:szCs w:val="20"/>
        </w:rPr>
        <w:t>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0C65866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43A041E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0BCBC2F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轉貸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38BFCE9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C726C70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CB6B1F2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7D55FAA" w14:textId="77777777" w:rsidR="00D5209B" w:rsidRDefault="00D5209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임대차계약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FC3D2ED" w14:textId="77777777" w:rsidR="00D5209B" w:rsidRDefault="00D5209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건물이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노후ㆍ훼손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67FA397" w14:textId="77777777" w:rsidR="00D5209B" w:rsidRDefault="00D5209B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철거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재건축이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9B3BB5B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임대인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임대인의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직계존속ㆍ직계비속을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279AA6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임차인으로서의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64D79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계약갱신요구권을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존속기간은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B00E2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D1CCF6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4C9FD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거절하였음에도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갱신요구가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아니하였더라면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9BFE20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70EC5D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갱신거절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월차임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환산월차임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75288459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임대인이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환산월차임과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환산월차임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14:paraId="2E6A3EFF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갱신거절로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손해액</w:t>
      </w:r>
    </w:p>
    <w:p w14:paraId="3CFF8F6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31.]</w:t>
      </w:r>
    </w:p>
    <w:p w14:paraId="332E642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5C4E2F2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증감청구권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임차주택에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공과금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경제사정의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적절하지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증액청구는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임대차계약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7. 31.&gt;</w:t>
      </w:r>
    </w:p>
    <w:p w14:paraId="3D4308EC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증액청구는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차임이나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특별시ㆍ광역시ㆍ특별자치시ㆍ도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4FBA299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33DB4AB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ECF4BA3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월차임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산정률의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낮은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월차임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月借賃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2010. 5. 17., 2013. 8. 13., 2016. 5. 29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.&gt;</w:t>
      </w:r>
    </w:p>
    <w:p w14:paraId="7195ACA4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「은행법」에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은행에서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대출금리와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</w:p>
    <w:p w14:paraId="160CF64F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한국은행에서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기준금리에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</w:p>
    <w:p w14:paraId="0A51E96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0372D5F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86AF74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보증금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일정액의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담보물권자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擔保物權者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변제받을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경매신청의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505EFB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CA6C5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우선변제를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8.&gt;</w:t>
      </w:r>
    </w:p>
    <w:p w14:paraId="53AB212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6724471C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C8EADD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주택임대차위원회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우선변제를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일정액의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7E71D7E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3863325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법무부차관이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8EAC4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3. 23., 2020. 7. 31.&gt;</w:t>
      </w:r>
    </w:p>
    <w:p w14:paraId="0C7367D3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법학ㆍ경제학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전문지식을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262C931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변호사ㆍ감정평가사ㆍ공인회계사ㆍ세무사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공인중개사로서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2CD37D6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기획재정부에서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75E4012E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법무부에서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470E25E4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국토교통부에서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04D07020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B6A3C5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9A933A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5. 8.]</w:t>
      </w:r>
    </w:p>
    <w:p w14:paraId="560EF0E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3DEB00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임차권의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승계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상속인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가정공동생활을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혼인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06D213C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가정공동생활을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가정공동생활을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A0EA8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반대의사를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519D20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채권ㆍ채무는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059FE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51D535FE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852484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강행규정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약정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約定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DD6D49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75A6696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26E911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차임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반환청구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</w:t>
      </w:r>
      <w:r>
        <w:rPr>
          <w:rFonts w:ascii="HYSMyeongJo-Medium" w:eastAsia="HY중고딕" w:hAnsi="HYSMyeongJo-Medium" w:cs="HYSMyeongJo-Medium"/>
          <w:sz w:val="20"/>
          <w:szCs w:val="20"/>
        </w:rPr>
        <w:t>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증액비율을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월차임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산정률을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반환을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BC7F7D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8. 13.]</w:t>
      </w:r>
    </w:p>
    <w:p w14:paraId="517B8B3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994302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일시사용을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임대차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일시사용하기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임대차임이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1AC5EC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1CBC8A8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1A2FAA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미등기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전세에의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전세계약에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전세금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임대차의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FA33418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6312646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A345B2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「소액사건심판법」의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임차인이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임대인에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보증금반환청구소송에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「소액사건심판법」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9B59BE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3. 21.]</w:t>
      </w:r>
    </w:p>
    <w:p w14:paraId="072B99E9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EBC25B6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주택임대차분쟁조정위원회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심의ㆍ조정하기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「법률구조법</w:t>
      </w:r>
      <w:r>
        <w:rPr>
          <w:rFonts w:ascii="HYSMyeongJo-Medium" w:eastAsia="HY중고딕" w:hAnsi="HYSMyeongJo-Medium" w:cs="HYSMyeongJo-Medium"/>
          <w:sz w:val="20"/>
          <w:szCs w:val="20"/>
        </w:rPr>
        <w:t>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대한법률구조공단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공단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「한국토지주택공사법」에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한국토지주택공사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「한국감정원법」에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한국감정원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감정원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주택임대차분쟁조정위원회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둔다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특별시ㆍ광역시ㆍ특별자치시ㆍ도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특별자치도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시ㆍ도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지방자치단체의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2020. 7. 3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1.&gt;</w:t>
      </w:r>
    </w:p>
    <w:p w14:paraId="02FF751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3B88CA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0FFB5EEB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397503F6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보증금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5925BCBF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임차주택의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유지ㆍ수선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17C6D710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423534F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3DAB6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업무담당자는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「상가건</w:t>
      </w:r>
      <w:r>
        <w:rPr>
          <w:rFonts w:ascii="HYSMyeongJo-Medium" w:hAnsi="HYSMyeongJo-Medium" w:cs="HYSMyeongJo-Medium"/>
          <w:sz w:val="20"/>
          <w:szCs w:val="20"/>
        </w:rPr>
        <w:t>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임대차보호법」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상가건물임대차분쟁조정위원회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겸직하여서는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10. 16.&gt;</w:t>
      </w:r>
    </w:p>
    <w:p w14:paraId="6EE4F5F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60BDE2DE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FB55781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예산의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설치ㆍ운영에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예산을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지원할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AEAEF8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41F46EC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49B1FC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조정위원회의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7. 31.&gt;</w:t>
      </w:r>
    </w:p>
    <w:p w14:paraId="7B3E028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7. 31.&gt;</w:t>
      </w:r>
    </w:p>
    <w:p w14:paraId="14F33FF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EADC66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법학ㆍ경제학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71608D4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판사ㆍ검사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변호사로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35D6357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감정평가사ㆍ공인회계사ㆍ법무사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공인중개사로서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0B8CE87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「사회복지사업법」에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주택임대차분쟁에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상담에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CD80DA5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079075D8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C059F88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호선한다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C609D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75148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A0CC6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보궐위원의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CDFA4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069F5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1B1BD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4C07645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A12CA7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운영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효율적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</w:t>
      </w:r>
      <w:r>
        <w:rPr>
          <w:rFonts w:ascii="HYSMyeongJo-Medium" w:eastAsia="HY중고딕" w:hAnsi="HYSMyeongJo-Medium" w:cs="HYSMyeongJo-Medium"/>
          <w:sz w:val="20"/>
          <w:szCs w:val="20"/>
        </w:rPr>
        <w:t>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C3AF4B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CAAF20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심의ㆍ조정한다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AD43A2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10084BA3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조정위원회가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</w:t>
      </w:r>
    </w:p>
    <w:p w14:paraId="294A5F0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재적위원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찬성으로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2BFC2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74A2D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97903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6D8512E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322DB6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결격사유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「국가공무원법」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사람은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1106F38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3E87717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D19A073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신분보장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독립적으로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주택임대차분쟁의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지시에도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구속되지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B2D460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해촉되지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E443E5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A0DA1B9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80227E0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75C084E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B78B86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조정위원의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제척된다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1D708C64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1C6A3C9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C860620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법률자문을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CA5C4A1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조정위원이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관여하였던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E753E8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EC025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22292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쌍방은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불복하지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91B8E0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6E3EF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직무집행에서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718E0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16. 5. 29.]</w:t>
      </w:r>
    </w:p>
    <w:p w14:paraId="68625A4A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2EA81E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주택임대차분쟁의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7. 31.&gt;</w:t>
      </w:r>
    </w:p>
    <w:p w14:paraId="38F45B9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69AD4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1E287FD1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2BC294E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「민사조정법」에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7894789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분쟁조정사항에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88A476F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조정신청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주택임대차에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BE3400B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피신청인이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81CD437" w14:textId="77777777" w:rsidR="00D5209B" w:rsidRDefault="00D5209B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신청인이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출석요구에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506234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37858C0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959CBD3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6. 9.&gt;</w:t>
      </w:r>
    </w:p>
    <w:p w14:paraId="24ED2AF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</w:t>
      </w:r>
      <w:r>
        <w:rPr>
          <w:rFonts w:ascii="HYSMyeongJo-Medium" w:hAnsi="HYSMyeongJo-Medium" w:cs="HYSMyeongJo-Medium"/>
          <w:sz w:val="20"/>
          <w:szCs w:val="20"/>
        </w:rPr>
        <w:t>수하면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피신청인에게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조정신청서를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3996A40B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3201110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603B6F3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325CFF1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처리기간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조정신청을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마쳐야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30</w:t>
      </w:r>
      <w:r>
        <w:rPr>
          <w:rFonts w:ascii="HYSMyeongJo-Medium" w:eastAsia="HY중고딕" w:hAnsi="HYSMyeongJo-Medium" w:cs="HYSMyeongJo-Medium"/>
          <w:sz w:val="20"/>
          <w:szCs w:val="20"/>
        </w:rPr>
        <w:t>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CA7374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>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0079C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0B4BCE96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411280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피신청인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분쟁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이해관계인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참고인에게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진술하게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요구할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396FB9A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330162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인근지역의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보증금의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월차임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C8D6C8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14E489C1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E857573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하지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아니하는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성질상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00F7896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36013D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07E5A82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718481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당사자에게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6DF502E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6. 9.&gt;</w:t>
      </w:r>
    </w:p>
    <w:p w14:paraId="6B7CEBF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7519A7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조정위원회위원장은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조정위원회위원장은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대체물의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승낙하는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65FB0D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505D045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7BE5DB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집행력의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강제집행을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승낙하는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내용이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기재된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「민사집행법」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56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집행권원과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효력을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청구에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B2DC62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26174D2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6F70D81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비밀유지의무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사무국의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있었던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누설하거나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사용하여서는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2ECE0D3E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31DED54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CA8986C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법률의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「민사조정법」을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7AEC57B3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57ED6084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89C96C6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주택임대차표준계약서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주택임대차계약을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서면으로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법무부장관이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국토교통부장관과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주택임대차표준계약서를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당사자가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7. 31.&gt;</w:t>
      </w:r>
    </w:p>
    <w:p w14:paraId="3A50F63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4F0225A5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6B1558" w14:textId="77777777" w:rsidR="00D5209B" w:rsidRDefault="00D5209B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적용에서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공무원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주택임대차분쟁조정위원회의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위원은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132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14:paraId="471E81BF" w14:textId="77777777" w:rsidR="00D5209B" w:rsidRDefault="00D5209B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78645FBD" w14:textId="77777777" w:rsidR="00D5209B" w:rsidRDefault="00D5209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3DB9D051" w14:textId="77777777" w:rsidR="00D5209B" w:rsidRDefault="00D5209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1C799A9B" w14:textId="77777777" w:rsidR="00D5209B" w:rsidRDefault="00D5209B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002CE45C" w14:textId="77777777" w:rsidR="00D5209B" w:rsidRDefault="00D5209B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19520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,2023. 7. 11.&gt;</w:t>
      </w:r>
    </w:p>
    <w:p w14:paraId="55414BCD" w14:textId="77777777" w:rsidR="00D5209B" w:rsidRDefault="00D5209B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05E206" w14:textId="77777777" w:rsidR="00D5209B" w:rsidRDefault="00D5209B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000000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4B0D" w14:textId="77777777" w:rsidR="00D5209B" w:rsidRDefault="00D5209B">
      <w:r>
        <w:separator/>
      </w:r>
    </w:p>
  </w:endnote>
  <w:endnote w:type="continuationSeparator" w:id="0">
    <w:p w14:paraId="7939C879" w14:textId="77777777" w:rsidR="00D5209B" w:rsidRDefault="00D52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1A4B6977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C772EA1" w14:textId="77777777" w:rsidR="00D5209B" w:rsidRDefault="00D5209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 w14:anchorId="5F6E52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24pt;height:16.8pt">
                <v:imagedata r:id="rId1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44858C" w14:textId="77777777" w:rsidR="00D5209B" w:rsidRDefault="00D5209B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C40209" w14:textId="77777777" w:rsidR="00D5209B" w:rsidRDefault="00D5209B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8ED341" w14:textId="77777777" w:rsidR="00D5209B" w:rsidRDefault="00D5209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color w:val="auto"/>
            </w:rPr>
            <w:pict w14:anchorId="26522D69">
              <v:shape id="_x0000_i1032" type="#_x0000_t75" style="width:25.8pt;height:16.2pt">
                <v:imagedata r:id="rId2" o:title=""/>
              </v:shape>
            </w:pict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CCD49" w14:textId="77777777" w:rsidR="00D5209B" w:rsidRDefault="00D5209B">
      <w:r>
        <w:separator/>
      </w:r>
    </w:p>
  </w:footnote>
  <w:footnote w:type="continuationSeparator" w:id="0">
    <w:p w14:paraId="140A1A64" w14:textId="77777777" w:rsidR="00D5209B" w:rsidRDefault="00D52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8017" w14:textId="77777777" w:rsidR="00D5209B" w:rsidRDefault="00D5209B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주택임대차보호법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263867"/>
    <w:rsid w:val="00263867"/>
    <w:rsid w:val="00D5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B7D24"/>
  <w14:defaultImageDpi w14:val="0"/>
  <w15:docId w15:val="{FBC94FB1-2D11-4BB7-8747-A59BD534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2526</Words>
  <Characters>14404</Characters>
  <Application>Microsoft Office Word</Application>
  <DocSecurity>0</DocSecurity>
  <Lines>120</Lines>
  <Paragraphs>33</Paragraphs>
  <ScaleCrop>false</ScaleCrop>
  <Company/>
  <LinksUpToDate>false</LinksUpToDate>
  <CharactersWithSpaces>16897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백성빈</dc:creator>
  <cp:keywords/>
  <dc:description/>
  <cp:lastModifiedBy>백성빈</cp:lastModifiedBy>
  <cp:revision>2</cp:revision>
  <dcterms:created xsi:type="dcterms:W3CDTF">2023-08-16T02:56:00Z</dcterms:created>
  <dcterms:modified xsi:type="dcterms:W3CDTF">2023-08-16T02:56:00Z</dcterms:modified>
</cp:coreProperties>
</file>