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2D9B" w14:textId="77777777" w:rsidR="00046769" w:rsidRPr="007C014C" w:rsidRDefault="00000000" w:rsidP="009E565D">
      <w:pPr>
        <w:pStyle w:val="Heading1"/>
        <w:snapToGrid w:val="0"/>
        <w:spacing w:before="0" w:line="240" w:lineRule="auto"/>
        <w:jc w:val="center"/>
        <w:rPr>
          <w:rFonts w:asciiTheme="majorBidi" w:hAnsiTheme="majorBidi"/>
          <w:b w:val="0"/>
          <w:bCs w:val="0"/>
          <w:i/>
          <w:iCs/>
          <w:color w:val="000000" w:themeColor="text1"/>
          <w:sz w:val="24"/>
          <w:szCs w:val="24"/>
        </w:rPr>
      </w:pPr>
      <w:r w:rsidRPr="007C014C">
        <w:rPr>
          <w:rFonts w:asciiTheme="majorBidi" w:hAnsiTheme="majorBidi"/>
          <w:b w:val="0"/>
          <w:bCs w:val="0"/>
          <w:i/>
          <w:iCs/>
          <w:color w:val="000000" w:themeColor="text1"/>
          <w:sz w:val="24"/>
          <w:szCs w:val="24"/>
        </w:rPr>
        <w:t>Research Proposal</w:t>
      </w:r>
    </w:p>
    <w:p w14:paraId="090B6318" w14:textId="77777777" w:rsidR="0031457B" w:rsidRPr="0031457B" w:rsidRDefault="0031457B" w:rsidP="009E565D">
      <w:pPr>
        <w:snapToGrid w:val="0"/>
        <w:spacing w:after="0" w:line="240" w:lineRule="auto"/>
        <w:jc w:val="center"/>
        <w:rPr>
          <w:color w:val="002060"/>
        </w:rPr>
      </w:pPr>
    </w:p>
    <w:p w14:paraId="64FE61A1" w14:textId="51FBB49E" w:rsidR="007C014C" w:rsidRPr="007C014C" w:rsidRDefault="007C014C" w:rsidP="009E565D">
      <w:pPr>
        <w:pStyle w:val="Heading2"/>
        <w:snapToGrid w:val="0"/>
        <w:spacing w:before="0" w:line="240" w:lineRule="auto"/>
        <w:jc w:val="center"/>
        <w:rPr>
          <w:rFonts w:asciiTheme="majorBidi" w:hAnsiTheme="majorBidi"/>
          <w:color w:val="002060"/>
          <w:sz w:val="28"/>
          <w:szCs w:val="28"/>
        </w:rPr>
      </w:pPr>
      <w:r>
        <w:rPr>
          <w:rFonts w:asciiTheme="majorBidi" w:hAnsiTheme="majorBidi"/>
          <w:color w:val="002060"/>
          <w:sz w:val="28"/>
          <w:szCs w:val="28"/>
        </w:rPr>
        <w:t>Understanding i</w:t>
      </w:r>
      <w:r w:rsidRPr="007C014C">
        <w:rPr>
          <w:rFonts w:asciiTheme="majorBidi" w:hAnsiTheme="majorBidi"/>
          <w:color w:val="002060"/>
          <w:sz w:val="28"/>
          <w:szCs w:val="28"/>
        </w:rPr>
        <w:t>nflation</w:t>
      </w:r>
      <w:r>
        <w:rPr>
          <w:rFonts w:asciiTheme="majorBidi" w:hAnsiTheme="majorBidi"/>
          <w:color w:val="002060"/>
          <w:sz w:val="28"/>
          <w:szCs w:val="28"/>
        </w:rPr>
        <w:t>, monetary policy, u</w:t>
      </w:r>
      <w:r w:rsidRPr="007C014C">
        <w:rPr>
          <w:rFonts w:asciiTheme="majorBidi" w:hAnsiTheme="majorBidi"/>
          <w:color w:val="002060"/>
          <w:sz w:val="28"/>
          <w:szCs w:val="28"/>
        </w:rPr>
        <w:t>ncertainty</w:t>
      </w:r>
      <w:r>
        <w:rPr>
          <w:rFonts w:asciiTheme="majorBidi" w:hAnsiTheme="majorBidi"/>
          <w:color w:val="002060"/>
          <w:sz w:val="28"/>
          <w:szCs w:val="28"/>
        </w:rPr>
        <w:t xml:space="preserve"> and investment dynamics </w:t>
      </w:r>
      <w:r w:rsidRPr="007C014C">
        <w:rPr>
          <w:rFonts w:asciiTheme="majorBidi" w:hAnsiTheme="majorBidi"/>
          <w:color w:val="002060"/>
          <w:sz w:val="28"/>
          <w:szCs w:val="28"/>
        </w:rPr>
        <w:t xml:space="preserve">in a </w:t>
      </w:r>
      <w:r>
        <w:rPr>
          <w:rFonts w:asciiTheme="majorBidi" w:hAnsiTheme="majorBidi"/>
          <w:color w:val="002060"/>
          <w:sz w:val="28"/>
          <w:szCs w:val="28"/>
        </w:rPr>
        <w:t>f</w:t>
      </w:r>
      <w:r w:rsidRPr="007C014C">
        <w:rPr>
          <w:rFonts w:asciiTheme="majorBidi" w:hAnsiTheme="majorBidi"/>
          <w:color w:val="002060"/>
          <w:sz w:val="28"/>
          <w:szCs w:val="28"/>
        </w:rPr>
        <w:t xml:space="preserve">ragmented </w:t>
      </w:r>
      <w:r>
        <w:rPr>
          <w:rFonts w:asciiTheme="majorBidi" w:hAnsiTheme="majorBidi"/>
          <w:color w:val="002060"/>
          <w:sz w:val="28"/>
          <w:szCs w:val="28"/>
        </w:rPr>
        <w:t>g</w:t>
      </w:r>
      <w:r w:rsidRPr="007C014C">
        <w:rPr>
          <w:rFonts w:asciiTheme="majorBidi" w:hAnsiTheme="majorBidi"/>
          <w:color w:val="002060"/>
          <w:sz w:val="28"/>
          <w:szCs w:val="28"/>
        </w:rPr>
        <w:t xml:space="preserve">lobal </w:t>
      </w:r>
      <w:r>
        <w:rPr>
          <w:rFonts w:asciiTheme="majorBidi" w:hAnsiTheme="majorBidi"/>
          <w:color w:val="002060"/>
          <w:sz w:val="28"/>
          <w:szCs w:val="28"/>
        </w:rPr>
        <w:t>e</w:t>
      </w:r>
      <w:r w:rsidRPr="007C014C">
        <w:rPr>
          <w:rFonts w:asciiTheme="majorBidi" w:hAnsiTheme="majorBidi"/>
          <w:color w:val="002060"/>
          <w:sz w:val="28"/>
          <w:szCs w:val="28"/>
        </w:rPr>
        <w:t>conomy</w:t>
      </w:r>
    </w:p>
    <w:p w14:paraId="14562383" w14:textId="77777777" w:rsidR="007C014C" w:rsidRDefault="007C014C" w:rsidP="009E565D">
      <w:pPr>
        <w:pStyle w:val="Heading2"/>
        <w:snapToGrid w:val="0"/>
        <w:spacing w:before="0" w:line="240" w:lineRule="auto"/>
        <w:jc w:val="both"/>
        <w:rPr>
          <w:rFonts w:asciiTheme="majorBidi" w:hAnsiTheme="majorBidi"/>
          <w:color w:val="002060"/>
          <w:sz w:val="24"/>
          <w:szCs w:val="24"/>
        </w:rPr>
      </w:pPr>
    </w:p>
    <w:p w14:paraId="1CA0A978" w14:textId="6FE3E1B1" w:rsidR="00046769" w:rsidRPr="0031457B" w:rsidRDefault="00000000" w:rsidP="009E565D">
      <w:pPr>
        <w:pStyle w:val="Heading2"/>
        <w:snapToGrid w:val="0"/>
        <w:spacing w:before="0" w:line="240" w:lineRule="auto"/>
        <w:jc w:val="both"/>
        <w:rPr>
          <w:rFonts w:asciiTheme="majorBidi" w:hAnsiTheme="majorBidi"/>
          <w:color w:val="002060"/>
          <w:sz w:val="24"/>
          <w:szCs w:val="24"/>
        </w:rPr>
      </w:pPr>
      <w:r w:rsidRPr="0031457B">
        <w:rPr>
          <w:rFonts w:asciiTheme="majorBidi" w:hAnsiTheme="majorBidi"/>
          <w:color w:val="002060"/>
          <w:sz w:val="24"/>
          <w:szCs w:val="24"/>
        </w:rPr>
        <w:t>Background and Motivation</w:t>
      </w:r>
    </w:p>
    <w:p w14:paraId="31D1E9D6" w14:textId="077196B2" w:rsidR="001E06F7" w:rsidRPr="001E06F7" w:rsidRDefault="001E06F7" w:rsidP="009E565D">
      <w:pPr>
        <w:pStyle w:val="Heading2"/>
        <w:snapToGrid w:val="0"/>
        <w:spacing w:before="0" w:line="240" w:lineRule="auto"/>
        <w:jc w:val="both"/>
        <w:rPr>
          <w:rFonts w:asciiTheme="majorBidi" w:hAnsiTheme="majorBidi"/>
          <w:b w:val="0"/>
          <w:bCs w:val="0"/>
          <w:color w:val="000000" w:themeColor="text1"/>
          <w:sz w:val="24"/>
          <w:szCs w:val="24"/>
        </w:rPr>
      </w:pPr>
      <w:r w:rsidRPr="001E06F7">
        <w:rPr>
          <w:rFonts w:asciiTheme="majorBidi" w:hAnsiTheme="majorBidi"/>
          <w:b w:val="0"/>
          <w:bCs w:val="0"/>
          <w:color w:val="000000" w:themeColor="text1"/>
          <w:sz w:val="24"/>
          <w:szCs w:val="24"/>
        </w:rPr>
        <w:t>The recent global inflation surge has underscored the profound linkages between price instability, uncertainty, and investment behavior. Inflation volatility, supply shocks, and synchronized monetary tightening have affected both physical capital formation and innovation-driven investments, reshaping global growth prospects. Persistent inflation, coupled with heightened uncertainty and divergent policy responses, may leave lasting scars on investment and productivity growth.</w:t>
      </w:r>
      <w:r>
        <w:rPr>
          <w:rFonts w:asciiTheme="majorBidi" w:hAnsiTheme="majorBidi"/>
          <w:b w:val="0"/>
          <w:bCs w:val="0"/>
          <w:color w:val="000000" w:themeColor="text1"/>
          <w:sz w:val="24"/>
          <w:szCs w:val="24"/>
        </w:rPr>
        <w:t xml:space="preserve"> </w:t>
      </w:r>
      <w:r w:rsidRPr="001E06F7">
        <w:rPr>
          <w:rFonts w:asciiTheme="majorBidi" w:hAnsiTheme="majorBidi"/>
          <w:b w:val="0"/>
          <w:bCs w:val="0"/>
          <w:color w:val="000000" w:themeColor="text1"/>
          <w:sz w:val="24"/>
          <w:szCs w:val="24"/>
        </w:rPr>
        <w:t>While prior studies have examined the effects of inflation on growth and inequality, systematic cross-country evidence on its influence—together with monetary policy and uncertainty—on investment, including R&amp;D spending, remains limited. This research proposal seeks to fill that gap by exploring how inflation levels, volatility, and uncertainty interact to shape productive and innovation investments across roughly 120 countries over the period 1990–2024.</w:t>
      </w:r>
    </w:p>
    <w:p w14:paraId="0C7BEFCA" w14:textId="77777777" w:rsidR="0031457B" w:rsidRDefault="0031457B" w:rsidP="009E565D">
      <w:pPr>
        <w:pStyle w:val="Heading2"/>
        <w:snapToGrid w:val="0"/>
        <w:spacing w:before="0" w:line="240" w:lineRule="auto"/>
        <w:jc w:val="both"/>
        <w:rPr>
          <w:rFonts w:asciiTheme="majorBidi" w:hAnsiTheme="majorBidi"/>
          <w:sz w:val="24"/>
          <w:szCs w:val="24"/>
        </w:rPr>
      </w:pPr>
    </w:p>
    <w:p w14:paraId="213BCDCE" w14:textId="77777777" w:rsidR="0031457B" w:rsidRDefault="00000000" w:rsidP="009E565D">
      <w:pPr>
        <w:pStyle w:val="Heading2"/>
        <w:snapToGrid w:val="0"/>
        <w:spacing w:before="0" w:line="240" w:lineRule="auto"/>
        <w:jc w:val="both"/>
        <w:rPr>
          <w:rFonts w:asciiTheme="majorBidi" w:hAnsiTheme="majorBidi"/>
          <w:color w:val="002060"/>
          <w:sz w:val="24"/>
          <w:szCs w:val="24"/>
        </w:rPr>
      </w:pPr>
      <w:r w:rsidRPr="0031457B">
        <w:rPr>
          <w:rFonts w:asciiTheme="majorBidi" w:hAnsiTheme="majorBidi"/>
          <w:color w:val="002060"/>
          <w:sz w:val="24"/>
          <w:szCs w:val="24"/>
        </w:rPr>
        <w:t>Research Questions</w:t>
      </w:r>
    </w:p>
    <w:p w14:paraId="158EC3EA" w14:textId="612D3348" w:rsidR="0031457B" w:rsidRPr="0031457B" w:rsidRDefault="00000000" w:rsidP="009E565D">
      <w:pPr>
        <w:pStyle w:val="Heading2"/>
        <w:numPr>
          <w:ilvl w:val="0"/>
          <w:numId w:val="10"/>
        </w:numPr>
        <w:snapToGrid w:val="0"/>
        <w:spacing w:before="0" w:line="240" w:lineRule="auto"/>
        <w:jc w:val="both"/>
        <w:rPr>
          <w:rFonts w:asciiTheme="majorBidi" w:hAnsiTheme="majorBidi"/>
          <w:b w:val="0"/>
          <w:bCs w:val="0"/>
          <w:color w:val="000000" w:themeColor="text1"/>
          <w:sz w:val="24"/>
          <w:szCs w:val="24"/>
        </w:rPr>
      </w:pPr>
      <w:r w:rsidRPr="0031457B">
        <w:rPr>
          <w:rFonts w:asciiTheme="majorBidi" w:hAnsiTheme="majorBidi"/>
          <w:b w:val="0"/>
          <w:bCs w:val="0"/>
          <w:color w:val="000000" w:themeColor="text1"/>
          <w:sz w:val="24"/>
          <w:szCs w:val="24"/>
        </w:rPr>
        <w:t>How do inflation, inflation volatility, monetary policy, and uncertainty affect productive and R&amp;D investment across countries?</w:t>
      </w:r>
      <w:r w:rsidR="0031457B">
        <w:rPr>
          <w:rFonts w:asciiTheme="majorBidi" w:hAnsiTheme="majorBidi"/>
          <w:b w:val="0"/>
          <w:bCs w:val="0"/>
          <w:color w:val="000000" w:themeColor="text1"/>
          <w:sz w:val="24"/>
          <w:szCs w:val="24"/>
        </w:rPr>
        <w:t xml:space="preserve"> </w:t>
      </w:r>
      <w:r w:rsidRPr="0031457B">
        <w:rPr>
          <w:rFonts w:asciiTheme="majorBidi" w:hAnsiTheme="majorBidi"/>
          <w:b w:val="0"/>
          <w:bCs w:val="0"/>
          <w:color w:val="000000" w:themeColor="text1"/>
          <w:sz w:val="24"/>
          <w:szCs w:val="24"/>
        </w:rPr>
        <w:t>Are the effects nonlinear or regime-dependent (e.g., low- vs. high-inflation environments)?</w:t>
      </w:r>
    </w:p>
    <w:p w14:paraId="30919B1A" w14:textId="1D49AE03" w:rsidR="0031457B" w:rsidRPr="0031457B" w:rsidRDefault="00000000" w:rsidP="009E565D">
      <w:pPr>
        <w:pStyle w:val="Heading2"/>
        <w:numPr>
          <w:ilvl w:val="0"/>
          <w:numId w:val="10"/>
        </w:numPr>
        <w:snapToGrid w:val="0"/>
        <w:spacing w:before="0" w:line="240" w:lineRule="auto"/>
        <w:jc w:val="both"/>
        <w:rPr>
          <w:rFonts w:asciiTheme="majorBidi" w:hAnsiTheme="majorBidi"/>
          <w:b w:val="0"/>
          <w:bCs w:val="0"/>
          <w:color w:val="000000" w:themeColor="text1"/>
          <w:sz w:val="24"/>
          <w:szCs w:val="24"/>
        </w:rPr>
      </w:pPr>
      <w:r w:rsidRPr="0031457B">
        <w:rPr>
          <w:rFonts w:asciiTheme="majorBidi" w:hAnsiTheme="majorBidi"/>
          <w:b w:val="0"/>
          <w:bCs w:val="0"/>
          <w:color w:val="000000" w:themeColor="text1"/>
          <w:sz w:val="24"/>
          <w:szCs w:val="24"/>
        </w:rPr>
        <w:t>How does monetary policy mediate the relationship between inflation and investment outcomes?</w:t>
      </w:r>
      <w:r w:rsidR="0031457B">
        <w:rPr>
          <w:rFonts w:asciiTheme="majorBidi" w:hAnsiTheme="majorBidi"/>
          <w:b w:val="0"/>
          <w:bCs w:val="0"/>
          <w:color w:val="000000" w:themeColor="text1"/>
          <w:sz w:val="24"/>
          <w:szCs w:val="24"/>
        </w:rPr>
        <w:t xml:space="preserve"> </w:t>
      </w:r>
      <w:r w:rsidRPr="0031457B">
        <w:rPr>
          <w:rFonts w:asciiTheme="majorBidi" w:hAnsiTheme="majorBidi"/>
          <w:b w:val="0"/>
          <w:bCs w:val="0"/>
          <w:color w:val="000000" w:themeColor="text1"/>
          <w:sz w:val="24"/>
          <w:szCs w:val="24"/>
        </w:rPr>
        <w:t>Does uncertainty amplify or mitigate the negative effects of inflation on investment?</w:t>
      </w:r>
    </w:p>
    <w:p w14:paraId="2DE5A213" w14:textId="77777777" w:rsidR="0031457B" w:rsidRPr="0031457B" w:rsidRDefault="00000000" w:rsidP="009E565D">
      <w:pPr>
        <w:pStyle w:val="Heading2"/>
        <w:numPr>
          <w:ilvl w:val="0"/>
          <w:numId w:val="10"/>
        </w:numPr>
        <w:snapToGrid w:val="0"/>
        <w:spacing w:before="0" w:line="240" w:lineRule="auto"/>
        <w:jc w:val="both"/>
        <w:rPr>
          <w:rFonts w:asciiTheme="majorBidi" w:hAnsiTheme="majorBidi"/>
          <w:b w:val="0"/>
          <w:bCs w:val="0"/>
          <w:color w:val="000000" w:themeColor="text1"/>
          <w:sz w:val="24"/>
          <w:szCs w:val="24"/>
        </w:rPr>
      </w:pPr>
      <w:r w:rsidRPr="0031457B">
        <w:rPr>
          <w:rFonts w:asciiTheme="majorBidi" w:hAnsiTheme="majorBidi"/>
          <w:b w:val="0"/>
          <w:bCs w:val="0"/>
          <w:color w:val="000000" w:themeColor="text1"/>
          <w:sz w:val="24"/>
          <w:szCs w:val="24"/>
        </w:rPr>
        <w:t>Are the impacts heterogeneous across income groups, institutional quality, and exchange-rate regimes</w:t>
      </w:r>
      <w:r w:rsidR="0031457B" w:rsidRPr="0031457B">
        <w:rPr>
          <w:rFonts w:asciiTheme="majorBidi" w:hAnsiTheme="majorBidi"/>
          <w:b w:val="0"/>
          <w:bCs w:val="0"/>
          <w:color w:val="000000" w:themeColor="text1"/>
          <w:sz w:val="24"/>
          <w:szCs w:val="24"/>
        </w:rPr>
        <w:t>?</w:t>
      </w:r>
    </w:p>
    <w:p w14:paraId="33EFE98B" w14:textId="77777777" w:rsidR="0031457B" w:rsidRDefault="0031457B" w:rsidP="009E565D">
      <w:pPr>
        <w:pStyle w:val="Heading2"/>
        <w:snapToGrid w:val="0"/>
        <w:spacing w:before="0" w:line="240" w:lineRule="auto"/>
        <w:jc w:val="both"/>
        <w:rPr>
          <w:rFonts w:asciiTheme="majorBidi" w:hAnsiTheme="majorBidi"/>
          <w:sz w:val="24"/>
          <w:szCs w:val="24"/>
        </w:rPr>
      </w:pPr>
    </w:p>
    <w:p w14:paraId="69C13D53" w14:textId="5D878B17" w:rsidR="00046769" w:rsidRPr="0031457B" w:rsidRDefault="00000000" w:rsidP="009E565D">
      <w:pPr>
        <w:pStyle w:val="Heading2"/>
        <w:snapToGrid w:val="0"/>
        <w:spacing w:before="0" w:line="240" w:lineRule="auto"/>
        <w:jc w:val="both"/>
        <w:rPr>
          <w:rFonts w:asciiTheme="majorBidi" w:hAnsiTheme="majorBidi"/>
          <w:b w:val="0"/>
          <w:bCs w:val="0"/>
          <w:color w:val="002060"/>
          <w:sz w:val="24"/>
          <w:szCs w:val="24"/>
        </w:rPr>
      </w:pPr>
      <w:r w:rsidRPr="0031457B">
        <w:rPr>
          <w:rFonts w:asciiTheme="majorBidi" w:hAnsiTheme="majorBidi"/>
          <w:color w:val="002060"/>
          <w:sz w:val="24"/>
          <w:szCs w:val="24"/>
        </w:rPr>
        <w:t>Data and Variables</w:t>
      </w:r>
    </w:p>
    <w:p w14:paraId="355A7D7B" w14:textId="2F45C047" w:rsidR="00046769" w:rsidRPr="0031457B" w:rsidRDefault="00000000" w:rsidP="009E565D">
      <w:pPr>
        <w:snapToGrid w:val="0"/>
        <w:spacing w:after="0" w:line="240" w:lineRule="auto"/>
        <w:jc w:val="both"/>
        <w:rPr>
          <w:rFonts w:asciiTheme="majorBidi" w:hAnsiTheme="majorBidi" w:cstheme="majorBidi"/>
          <w:sz w:val="24"/>
          <w:szCs w:val="24"/>
        </w:rPr>
      </w:pPr>
      <w:r w:rsidRPr="0031457B">
        <w:rPr>
          <w:rFonts w:asciiTheme="majorBidi" w:hAnsiTheme="majorBidi" w:cstheme="majorBidi"/>
          <w:sz w:val="24"/>
          <w:szCs w:val="24"/>
        </w:rPr>
        <w:t xml:space="preserve">The analysis will use an unbalanced panel of approximately 120 countries for the period 1990–2024, combining data from </w:t>
      </w:r>
      <w:r w:rsidR="0031457B">
        <w:rPr>
          <w:rFonts w:asciiTheme="majorBidi" w:hAnsiTheme="majorBidi" w:cstheme="majorBidi"/>
          <w:sz w:val="24"/>
          <w:szCs w:val="24"/>
        </w:rPr>
        <w:t xml:space="preserve">UN DESA, </w:t>
      </w:r>
      <w:r w:rsidRPr="0031457B">
        <w:rPr>
          <w:rFonts w:asciiTheme="majorBidi" w:hAnsiTheme="majorBidi" w:cstheme="majorBidi"/>
          <w:sz w:val="24"/>
          <w:szCs w:val="24"/>
        </w:rPr>
        <w:t xml:space="preserve">World Development Indicators, IMF International Financial Statistics, BIS, World Uncertainty Index </w:t>
      </w:r>
      <w:r w:rsidR="0031457B">
        <w:rPr>
          <w:rFonts w:asciiTheme="majorBidi" w:hAnsiTheme="majorBidi" w:cstheme="majorBidi"/>
          <w:sz w:val="24"/>
          <w:szCs w:val="24"/>
        </w:rPr>
        <w:t xml:space="preserve">and others, as needed. </w:t>
      </w:r>
    </w:p>
    <w:p w14:paraId="525113AB" w14:textId="77777777" w:rsidR="0031457B" w:rsidRDefault="0031457B" w:rsidP="009E565D">
      <w:pPr>
        <w:pStyle w:val="Heading2"/>
        <w:snapToGrid w:val="0"/>
        <w:spacing w:before="0" w:line="240" w:lineRule="auto"/>
        <w:jc w:val="both"/>
        <w:rPr>
          <w:rFonts w:asciiTheme="majorBidi" w:hAnsiTheme="majorBidi"/>
          <w:color w:val="002060"/>
          <w:sz w:val="24"/>
          <w:szCs w:val="24"/>
        </w:rPr>
      </w:pPr>
    </w:p>
    <w:p w14:paraId="10C24500" w14:textId="378DB477" w:rsidR="00046769" w:rsidRPr="0031457B" w:rsidRDefault="00000000" w:rsidP="009E565D">
      <w:pPr>
        <w:pStyle w:val="Heading2"/>
        <w:snapToGrid w:val="0"/>
        <w:spacing w:before="0" w:line="240" w:lineRule="auto"/>
        <w:jc w:val="both"/>
        <w:rPr>
          <w:rFonts w:asciiTheme="majorBidi" w:hAnsiTheme="majorBidi"/>
          <w:color w:val="002060"/>
          <w:sz w:val="24"/>
          <w:szCs w:val="24"/>
        </w:rPr>
      </w:pPr>
      <w:r w:rsidRPr="0031457B">
        <w:rPr>
          <w:rFonts w:asciiTheme="majorBidi" w:hAnsiTheme="majorBidi"/>
          <w:color w:val="002060"/>
          <w:sz w:val="24"/>
          <w:szCs w:val="24"/>
        </w:rPr>
        <w:t>Methodology</w:t>
      </w:r>
    </w:p>
    <w:p w14:paraId="1754A88D" w14:textId="601C0DAE" w:rsidR="007C014C" w:rsidRDefault="007C014C" w:rsidP="009E565D">
      <w:pPr>
        <w:snapToGrid w:val="0"/>
        <w:spacing w:after="0" w:line="240" w:lineRule="auto"/>
        <w:jc w:val="both"/>
        <w:rPr>
          <w:rFonts w:asciiTheme="majorBidi" w:hAnsiTheme="majorBidi" w:cstheme="majorBidi"/>
          <w:sz w:val="24"/>
          <w:szCs w:val="24"/>
        </w:rPr>
      </w:pPr>
      <w:r>
        <w:rPr>
          <w:rFonts w:asciiTheme="majorBidi" w:hAnsiTheme="majorBidi" w:cstheme="majorBidi"/>
          <w:sz w:val="24"/>
          <w:szCs w:val="24"/>
        </w:rPr>
        <w:t>The e</w:t>
      </w:r>
      <w:r w:rsidR="00366DFC" w:rsidRPr="0031457B">
        <w:rPr>
          <w:rFonts w:asciiTheme="majorBidi" w:hAnsiTheme="majorBidi" w:cstheme="majorBidi"/>
          <w:sz w:val="24"/>
          <w:szCs w:val="24"/>
        </w:rPr>
        <w:t>mpirical</w:t>
      </w:r>
      <w:r w:rsidRPr="0031457B">
        <w:rPr>
          <w:rFonts w:asciiTheme="majorBidi" w:hAnsiTheme="majorBidi" w:cstheme="majorBidi"/>
          <w:sz w:val="24"/>
          <w:szCs w:val="24"/>
        </w:rPr>
        <w:t xml:space="preserve"> analysis </w:t>
      </w:r>
      <w:r>
        <w:rPr>
          <w:rFonts w:asciiTheme="majorBidi" w:hAnsiTheme="majorBidi" w:cstheme="majorBidi"/>
          <w:sz w:val="24"/>
          <w:szCs w:val="24"/>
        </w:rPr>
        <w:t>can use different econometric methodologies</w:t>
      </w:r>
      <w:r w:rsidR="004B493A">
        <w:rPr>
          <w:rFonts w:asciiTheme="majorBidi" w:hAnsiTheme="majorBidi" w:cstheme="majorBidi"/>
          <w:sz w:val="24"/>
          <w:szCs w:val="24"/>
        </w:rPr>
        <w:t>. This needs to be carefully evaluated</w:t>
      </w:r>
      <w:r w:rsidR="001E06F7">
        <w:rPr>
          <w:rFonts w:asciiTheme="majorBidi" w:hAnsiTheme="majorBidi" w:cstheme="majorBidi"/>
          <w:sz w:val="24"/>
          <w:szCs w:val="24"/>
        </w:rPr>
        <w:t>, once we have refined the questions</w:t>
      </w:r>
      <w:r w:rsidR="004B493A">
        <w:rPr>
          <w:rFonts w:asciiTheme="majorBidi" w:hAnsiTheme="majorBidi" w:cstheme="majorBidi"/>
          <w:sz w:val="24"/>
          <w:szCs w:val="24"/>
        </w:rPr>
        <w:t>.</w:t>
      </w:r>
    </w:p>
    <w:p w14:paraId="62016CC1" w14:textId="77777777" w:rsidR="007C014C" w:rsidRDefault="007C014C" w:rsidP="009E565D">
      <w:pPr>
        <w:pStyle w:val="ListParagraph"/>
        <w:snapToGrid w:val="0"/>
        <w:spacing w:after="0" w:line="240" w:lineRule="auto"/>
        <w:jc w:val="both"/>
        <w:rPr>
          <w:rFonts w:asciiTheme="majorBidi" w:hAnsiTheme="majorBidi" w:cstheme="majorBidi"/>
          <w:sz w:val="24"/>
          <w:szCs w:val="24"/>
        </w:rPr>
      </w:pPr>
    </w:p>
    <w:p w14:paraId="75C3E02E" w14:textId="6520740F" w:rsidR="007C014C" w:rsidRPr="007C014C" w:rsidRDefault="007C014C" w:rsidP="009E565D">
      <w:pPr>
        <w:pStyle w:val="ListParagraph"/>
        <w:numPr>
          <w:ilvl w:val="0"/>
          <w:numId w:val="11"/>
        </w:numPr>
        <w:snapToGrid w:val="0"/>
        <w:spacing w:after="0" w:line="240" w:lineRule="auto"/>
        <w:jc w:val="both"/>
        <w:rPr>
          <w:rFonts w:asciiTheme="majorBidi" w:hAnsiTheme="majorBidi" w:cstheme="majorBidi"/>
          <w:sz w:val="24"/>
          <w:szCs w:val="24"/>
        </w:rPr>
      </w:pPr>
      <w:r w:rsidRPr="007C014C">
        <w:rPr>
          <w:rFonts w:asciiTheme="majorBidi" w:hAnsiTheme="majorBidi" w:cstheme="majorBidi"/>
          <w:b/>
          <w:bCs/>
          <w:sz w:val="24"/>
          <w:szCs w:val="24"/>
        </w:rPr>
        <w:t>Static and dynamic panel estimations</w:t>
      </w:r>
      <w:r w:rsidRPr="007C014C">
        <w:rPr>
          <w:rFonts w:asciiTheme="majorBidi" w:hAnsiTheme="majorBidi" w:cstheme="majorBidi"/>
          <w:sz w:val="24"/>
          <w:szCs w:val="24"/>
        </w:rPr>
        <w:t>.</w:t>
      </w:r>
      <w:r>
        <w:rPr>
          <w:rFonts w:asciiTheme="majorBidi" w:hAnsiTheme="majorBidi" w:cstheme="majorBidi"/>
          <w:sz w:val="24"/>
          <w:szCs w:val="24"/>
        </w:rPr>
        <w:t xml:space="preserve"> </w:t>
      </w:r>
      <w:r w:rsidRPr="007C014C">
        <w:rPr>
          <w:rFonts w:asciiTheme="majorBidi" w:hAnsiTheme="majorBidi" w:cstheme="majorBidi"/>
          <w:sz w:val="24"/>
          <w:szCs w:val="24"/>
        </w:rPr>
        <w:t>Country and time fixed effects will control for unobserved heterogeneity and global shocks. Endogeneity and persistence in investment will be addressed through System-GMM estimators.</w:t>
      </w:r>
    </w:p>
    <w:p w14:paraId="46362246" w14:textId="76265ECE" w:rsidR="007C014C" w:rsidRPr="007C014C" w:rsidRDefault="007C014C" w:rsidP="009E565D">
      <w:pPr>
        <w:pStyle w:val="ListParagraph"/>
        <w:numPr>
          <w:ilvl w:val="0"/>
          <w:numId w:val="11"/>
        </w:numPr>
        <w:snapToGrid w:val="0"/>
        <w:spacing w:after="0" w:line="240" w:lineRule="auto"/>
        <w:jc w:val="both"/>
        <w:rPr>
          <w:rFonts w:asciiTheme="majorBidi" w:hAnsiTheme="majorBidi" w:cstheme="majorBidi"/>
          <w:sz w:val="24"/>
          <w:szCs w:val="24"/>
        </w:rPr>
      </w:pPr>
      <w:r w:rsidRPr="007C014C">
        <w:rPr>
          <w:rFonts w:asciiTheme="majorBidi" w:hAnsiTheme="majorBidi" w:cstheme="majorBidi"/>
          <w:b/>
          <w:bCs/>
          <w:sz w:val="24"/>
          <w:szCs w:val="24"/>
        </w:rPr>
        <w:t>Panel quantile regressions</w:t>
      </w:r>
      <w:r w:rsidRPr="007C014C">
        <w:rPr>
          <w:rFonts w:asciiTheme="majorBidi" w:hAnsiTheme="majorBidi" w:cstheme="majorBidi"/>
          <w:sz w:val="24"/>
          <w:szCs w:val="24"/>
        </w:rPr>
        <w:t>.</w:t>
      </w:r>
      <w:r>
        <w:rPr>
          <w:rFonts w:asciiTheme="majorBidi" w:hAnsiTheme="majorBidi" w:cstheme="majorBidi"/>
          <w:sz w:val="24"/>
          <w:szCs w:val="24"/>
        </w:rPr>
        <w:t xml:space="preserve"> </w:t>
      </w:r>
      <w:r w:rsidRPr="007C014C">
        <w:rPr>
          <w:rFonts w:asciiTheme="majorBidi" w:hAnsiTheme="majorBidi" w:cstheme="majorBidi"/>
          <w:sz w:val="24"/>
          <w:szCs w:val="24"/>
        </w:rPr>
        <w:t>Capture heterogeneous effects of inflation and uncertainty across investment distribution (low vs. high investment performers).</w:t>
      </w:r>
    </w:p>
    <w:p w14:paraId="53D3272B" w14:textId="401A0B0D" w:rsidR="007C014C" w:rsidRPr="007C014C" w:rsidRDefault="007C014C" w:rsidP="009E565D">
      <w:pPr>
        <w:pStyle w:val="ListParagraph"/>
        <w:numPr>
          <w:ilvl w:val="0"/>
          <w:numId w:val="11"/>
        </w:numPr>
        <w:snapToGrid w:val="0"/>
        <w:spacing w:after="0" w:line="240" w:lineRule="auto"/>
        <w:jc w:val="both"/>
        <w:rPr>
          <w:rFonts w:asciiTheme="majorBidi" w:hAnsiTheme="majorBidi" w:cstheme="majorBidi"/>
          <w:sz w:val="24"/>
          <w:szCs w:val="24"/>
        </w:rPr>
      </w:pPr>
      <w:r w:rsidRPr="007C014C">
        <w:rPr>
          <w:rFonts w:asciiTheme="majorBidi" w:hAnsiTheme="majorBidi" w:cstheme="majorBidi"/>
          <w:b/>
          <w:bCs/>
          <w:sz w:val="24"/>
          <w:szCs w:val="24"/>
        </w:rPr>
        <w:t>Common-Correlated Effects</w:t>
      </w:r>
      <w:r w:rsidRPr="007C014C">
        <w:rPr>
          <w:rFonts w:asciiTheme="majorBidi" w:hAnsiTheme="majorBidi" w:cstheme="majorBidi"/>
          <w:sz w:val="24"/>
          <w:szCs w:val="24"/>
        </w:rPr>
        <w:t xml:space="preserve"> (CCE) Estimator</w:t>
      </w:r>
      <w:r>
        <w:rPr>
          <w:rFonts w:asciiTheme="majorBidi" w:hAnsiTheme="majorBidi" w:cstheme="majorBidi"/>
          <w:sz w:val="24"/>
          <w:szCs w:val="24"/>
        </w:rPr>
        <w:t xml:space="preserve">. </w:t>
      </w:r>
      <w:r w:rsidRPr="007C014C">
        <w:rPr>
          <w:rFonts w:asciiTheme="majorBidi" w:hAnsiTheme="majorBidi" w:cstheme="majorBidi"/>
          <w:sz w:val="24"/>
          <w:szCs w:val="24"/>
        </w:rPr>
        <w:t>Controls for unobserved global shocks by including cross-sectional averages of all variables, yielding consistent estimates under cross-country dependence.</w:t>
      </w:r>
    </w:p>
    <w:p w14:paraId="0ABA6308" w14:textId="7662A51E" w:rsidR="007C014C" w:rsidRPr="007C014C" w:rsidRDefault="007C014C" w:rsidP="009E565D">
      <w:pPr>
        <w:pStyle w:val="ListParagraph"/>
        <w:numPr>
          <w:ilvl w:val="0"/>
          <w:numId w:val="11"/>
        </w:numPr>
        <w:snapToGrid w:val="0"/>
        <w:spacing w:after="0" w:line="240" w:lineRule="auto"/>
        <w:jc w:val="both"/>
        <w:rPr>
          <w:rFonts w:asciiTheme="majorBidi" w:hAnsiTheme="majorBidi" w:cstheme="majorBidi"/>
          <w:sz w:val="24"/>
          <w:szCs w:val="24"/>
        </w:rPr>
      </w:pPr>
      <w:r w:rsidRPr="007C014C">
        <w:rPr>
          <w:rFonts w:asciiTheme="majorBidi" w:hAnsiTheme="majorBidi" w:cstheme="majorBidi"/>
          <w:b/>
          <w:bCs/>
          <w:sz w:val="24"/>
          <w:szCs w:val="24"/>
        </w:rPr>
        <w:lastRenderedPageBreak/>
        <w:t>Panel threshold regressions</w:t>
      </w:r>
      <w:r w:rsidRPr="007C014C">
        <w:rPr>
          <w:rFonts w:asciiTheme="majorBidi" w:hAnsiTheme="majorBidi" w:cstheme="majorBidi"/>
          <w:sz w:val="24"/>
          <w:szCs w:val="24"/>
        </w:rPr>
        <w:t>.</w:t>
      </w:r>
      <w:r>
        <w:rPr>
          <w:rFonts w:asciiTheme="majorBidi" w:hAnsiTheme="majorBidi" w:cstheme="majorBidi"/>
          <w:sz w:val="24"/>
          <w:szCs w:val="24"/>
        </w:rPr>
        <w:t xml:space="preserve"> I</w:t>
      </w:r>
      <w:r w:rsidRPr="007C014C">
        <w:rPr>
          <w:rFonts w:asciiTheme="majorBidi" w:hAnsiTheme="majorBidi" w:cstheme="majorBidi"/>
          <w:sz w:val="24"/>
          <w:szCs w:val="24"/>
        </w:rPr>
        <w:t>dentify non-linearities and regime shifts — for example, whether inflation above certain thresholds has disproportionately large negative effects on investment or R&amp;D.</w:t>
      </w:r>
    </w:p>
    <w:p w14:paraId="773D84EB" w14:textId="3CB5D479" w:rsidR="007C014C" w:rsidRPr="007C014C" w:rsidRDefault="007C014C" w:rsidP="009E565D">
      <w:pPr>
        <w:pStyle w:val="ListParagraph"/>
        <w:numPr>
          <w:ilvl w:val="0"/>
          <w:numId w:val="11"/>
        </w:numPr>
        <w:snapToGrid w:val="0"/>
        <w:spacing w:after="0" w:line="240" w:lineRule="auto"/>
        <w:jc w:val="both"/>
        <w:rPr>
          <w:rFonts w:asciiTheme="majorBidi" w:hAnsiTheme="majorBidi" w:cstheme="majorBidi"/>
          <w:sz w:val="24"/>
          <w:szCs w:val="24"/>
        </w:rPr>
      </w:pPr>
      <w:r w:rsidRPr="007C014C">
        <w:rPr>
          <w:rFonts w:asciiTheme="majorBidi" w:hAnsiTheme="majorBidi" w:cstheme="majorBidi"/>
          <w:b/>
          <w:bCs/>
          <w:sz w:val="24"/>
          <w:szCs w:val="24"/>
        </w:rPr>
        <w:t>Local projections</w:t>
      </w:r>
      <w:r w:rsidRPr="007C014C">
        <w:rPr>
          <w:rFonts w:asciiTheme="majorBidi" w:hAnsiTheme="majorBidi" w:cstheme="majorBidi"/>
          <w:sz w:val="24"/>
          <w:szCs w:val="24"/>
        </w:rPr>
        <w:t>.</w:t>
      </w:r>
      <w:r>
        <w:rPr>
          <w:rFonts w:asciiTheme="majorBidi" w:hAnsiTheme="majorBidi" w:cstheme="majorBidi"/>
          <w:sz w:val="24"/>
          <w:szCs w:val="24"/>
        </w:rPr>
        <w:t xml:space="preserve"> </w:t>
      </w:r>
      <w:r w:rsidRPr="007C014C">
        <w:rPr>
          <w:rFonts w:asciiTheme="majorBidi" w:hAnsiTheme="majorBidi" w:cstheme="majorBidi"/>
          <w:sz w:val="24"/>
          <w:szCs w:val="24"/>
        </w:rPr>
        <w:t>Estimate dynamic impulse responses of investment to shocks in inflation, policy rates, or uncertainty without imposing VAR structures.</w:t>
      </w:r>
    </w:p>
    <w:p w14:paraId="051BBAB1" w14:textId="77777777" w:rsidR="00366DFC" w:rsidRDefault="00366DFC" w:rsidP="009E565D">
      <w:pPr>
        <w:pStyle w:val="Heading2"/>
        <w:snapToGrid w:val="0"/>
        <w:spacing w:before="0" w:line="240" w:lineRule="auto"/>
        <w:rPr>
          <w:rFonts w:asciiTheme="majorBidi" w:hAnsiTheme="majorBidi"/>
          <w:sz w:val="24"/>
          <w:szCs w:val="24"/>
        </w:rPr>
      </w:pPr>
    </w:p>
    <w:p w14:paraId="1DE54CFB" w14:textId="13D5DB5D" w:rsidR="00046769" w:rsidRPr="00366DFC" w:rsidRDefault="00000000" w:rsidP="009E565D">
      <w:pPr>
        <w:pStyle w:val="Heading2"/>
        <w:snapToGrid w:val="0"/>
        <w:spacing w:before="0" w:line="240" w:lineRule="auto"/>
        <w:rPr>
          <w:rFonts w:asciiTheme="majorBidi" w:hAnsiTheme="majorBidi"/>
          <w:color w:val="002060"/>
          <w:sz w:val="24"/>
          <w:szCs w:val="24"/>
        </w:rPr>
      </w:pPr>
      <w:r w:rsidRPr="00366DFC">
        <w:rPr>
          <w:rFonts w:asciiTheme="majorBidi" w:hAnsiTheme="majorBidi"/>
          <w:color w:val="002060"/>
          <w:sz w:val="24"/>
          <w:szCs w:val="24"/>
        </w:rPr>
        <w:t>Expected Contributions</w:t>
      </w:r>
    </w:p>
    <w:p w14:paraId="6EBBEFA9" w14:textId="1CC6BA96" w:rsidR="00046769" w:rsidRDefault="00000000" w:rsidP="009E565D">
      <w:pPr>
        <w:snapToGrid w:val="0"/>
        <w:spacing w:after="0" w:line="240" w:lineRule="auto"/>
        <w:jc w:val="both"/>
        <w:rPr>
          <w:rFonts w:asciiTheme="majorBidi" w:hAnsiTheme="majorBidi" w:cstheme="majorBidi"/>
          <w:sz w:val="24"/>
          <w:szCs w:val="24"/>
        </w:rPr>
      </w:pPr>
      <w:r w:rsidRPr="0031457B">
        <w:rPr>
          <w:rFonts w:asciiTheme="majorBidi" w:hAnsiTheme="majorBidi" w:cstheme="majorBidi"/>
          <w:sz w:val="24"/>
          <w:szCs w:val="24"/>
        </w:rPr>
        <w:t>The study will contribute to the literature by quantifying the interplay between inflation, volatility, monetary policy, and uncertainty across a large set of economies. It will differentiate between short-term cyclical effects and long-term structural consequences for investment and innovation, providing a global empirical basis for policy discussions.</w:t>
      </w:r>
      <w:r w:rsidR="00366DFC">
        <w:rPr>
          <w:rFonts w:asciiTheme="majorBidi" w:hAnsiTheme="majorBidi" w:cstheme="majorBidi"/>
          <w:sz w:val="24"/>
          <w:szCs w:val="24"/>
        </w:rPr>
        <w:t xml:space="preserve"> The f</w:t>
      </w:r>
      <w:r w:rsidRPr="0031457B">
        <w:rPr>
          <w:rFonts w:asciiTheme="majorBidi" w:hAnsiTheme="majorBidi" w:cstheme="majorBidi"/>
          <w:sz w:val="24"/>
          <w:szCs w:val="24"/>
        </w:rPr>
        <w:t xml:space="preserve">indings will inform ongoing analytical work within </w:t>
      </w:r>
      <w:r w:rsidR="00366DFC">
        <w:rPr>
          <w:rFonts w:asciiTheme="majorBidi" w:hAnsiTheme="majorBidi" w:cstheme="majorBidi"/>
          <w:sz w:val="24"/>
          <w:szCs w:val="24"/>
        </w:rPr>
        <w:t>GEMB, c</w:t>
      </w:r>
      <w:r w:rsidRPr="0031457B">
        <w:rPr>
          <w:rFonts w:asciiTheme="majorBidi" w:hAnsiTheme="majorBidi" w:cstheme="majorBidi"/>
          <w:sz w:val="24"/>
          <w:szCs w:val="24"/>
        </w:rPr>
        <w:t>omplementing the narrative on how inflation undermines productive investment and complicates monetary policy trade-offs in a fragmented and uncertain global environment.</w:t>
      </w:r>
    </w:p>
    <w:p w14:paraId="543FCC1B" w14:textId="77777777" w:rsidR="007C014C" w:rsidRDefault="007C014C" w:rsidP="009E565D">
      <w:pPr>
        <w:snapToGrid w:val="0"/>
        <w:spacing w:after="0" w:line="240" w:lineRule="auto"/>
        <w:jc w:val="both"/>
        <w:rPr>
          <w:rFonts w:asciiTheme="majorBidi" w:hAnsiTheme="majorBidi" w:cstheme="majorBidi"/>
          <w:sz w:val="24"/>
          <w:szCs w:val="24"/>
        </w:rPr>
      </w:pPr>
    </w:p>
    <w:p w14:paraId="24C855D9" w14:textId="26A50C50" w:rsidR="004B493A" w:rsidRDefault="004B493A" w:rsidP="009E565D">
      <w:pPr>
        <w:snapToGrid w:val="0"/>
        <w:spacing w:after="0" w:line="240" w:lineRule="auto"/>
        <w:jc w:val="both"/>
        <w:rPr>
          <w:rFonts w:asciiTheme="majorBidi" w:hAnsiTheme="majorBidi" w:cstheme="majorBidi"/>
          <w:color w:val="000000" w:themeColor="text1"/>
          <w:sz w:val="24"/>
          <w:szCs w:val="24"/>
        </w:rPr>
      </w:pPr>
      <w:r w:rsidRPr="004B493A">
        <w:rPr>
          <w:rFonts w:asciiTheme="majorBidi" w:hAnsiTheme="majorBidi" w:cstheme="majorBidi"/>
          <w:color w:val="000000" w:themeColor="text1"/>
          <w:sz w:val="24"/>
          <w:szCs w:val="24"/>
        </w:rPr>
        <w:t xml:space="preserve">The creation of a comprehensive panel dataset covering inflation, monetary policy, uncertainty, and investment across more than 120 economies </w:t>
      </w:r>
      <w:r w:rsidRPr="009E565D">
        <w:rPr>
          <w:rFonts w:asciiTheme="majorBidi" w:hAnsiTheme="majorBidi" w:cstheme="majorBidi"/>
          <w:b/>
          <w:bCs/>
          <w:color w:val="000000" w:themeColor="text1"/>
          <w:sz w:val="24"/>
          <w:szCs w:val="24"/>
        </w:rPr>
        <w:t>can serve as a foundation for ongoing analytical work</w:t>
      </w:r>
      <w:r w:rsidRPr="004B493A">
        <w:rPr>
          <w:rFonts w:asciiTheme="majorBidi" w:hAnsiTheme="majorBidi" w:cstheme="majorBidi"/>
          <w:color w:val="000000" w:themeColor="text1"/>
          <w:sz w:val="24"/>
          <w:szCs w:val="24"/>
        </w:rPr>
        <w:t>. Once established, this database can be regularly updated and expanded to incorporate new indicators</w:t>
      </w:r>
      <w:r>
        <w:rPr>
          <w:rFonts w:asciiTheme="majorBidi" w:hAnsiTheme="majorBidi" w:cstheme="majorBidi"/>
          <w:color w:val="000000" w:themeColor="text1"/>
          <w:sz w:val="24"/>
          <w:szCs w:val="24"/>
        </w:rPr>
        <w:t xml:space="preserve"> and investigate emerging issues. </w:t>
      </w:r>
      <w:r w:rsidRPr="004B493A">
        <w:rPr>
          <w:rFonts w:asciiTheme="majorBidi" w:hAnsiTheme="majorBidi" w:cstheme="majorBidi"/>
          <w:color w:val="000000" w:themeColor="text1"/>
          <w:sz w:val="24"/>
          <w:szCs w:val="24"/>
        </w:rPr>
        <w:t xml:space="preserve">The panel framework can support a permanent research stream within GEMB, allowing for iterative refinements and the development of follow-up studies on </w:t>
      </w:r>
      <w:r>
        <w:rPr>
          <w:rFonts w:asciiTheme="majorBidi" w:hAnsiTheme="majorBidi" w:cstheme="majorBidi"/>
          <w:color w:val="000000" w:themeColor="text1"/>
          <w:sz w:val="24"/>
          <w:szCs w:val="24"/>
        </w:rPr>
        <w:t xml:space="preserve">specific </w:t>
      </w:r>
      <w:r w:rsidRPr="004B493A">
        <w:rPr>
          <w:rFonts w:asciiTheme="majorBidi" w:hAnsiTheme="majorBidi" w:cstheme="majorBidi"/>
          <w:color w:val="000000" w:themeColor="text1"/>
          <w:sz w:val="24"/>
          <w:szCs w:val="24"/>
        </w:rPr>
        <w:t>questions</w:t>
      </w:r>
      <w:r>
        <w:rPr>
          <w:rFonts w:asciiTheme="majorBidi" w:hAnsiTheme="majorBidi" w:cstheme="majorBidi"/>
          <w:color w:val="000000" w:themeColor="text1"/>
          <w:sz w:val="24"/>
          <w:szCs w:val="24"/>
        </w:rPr>
        <w:t xml:space="preserve">. </w:t>
      </w:r>
    </w:p>
    <w:p w14:paraId="36BD3663" w14:textId="77777777" w:rsidR="00264E58" w:rsidRDefault="00264E58" w:rsidP="009E565D">
      <w:pPr>
        <w:snapToGrid w:val="0"/>
        <w:spacing w:after="0" w:line="240" w:lineRule="auto"/>
        <w:jc w:val="both"/>
        <w:rPr>
          <w:rFonts w:asciiTheme="majorBidi" w:hAnsiTheme="majorBidi" w:cstheme="majorBidi"/>
          <w:color w:val="000000" w:themeColor="text1"/>
          <w:sz w:val="24"/>
          <w:szCs w:val="24"/>
        </w:rPr>
      </w:pPr>
    </w:p>
    <w:p w14:paraId="04D592B2" w14:textId="10695B62" w:rsidR="00264E58" w:rsidRDefault="00264E58">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br w:type="page"/>
      </w:r>
    </w:p>
    <w:p w14:paraId="34E3723A" w14:textId="37279600" w:rsidR="00264E58" w:rsidRDefault="00264E58" w:rsidP="009E565D">
      <w:pPr>
        <w:snapToGrid w:val="0"/>
        <w:spacing w:after="0" w:line="240" w:lineRule="auto"/>
        <w:jc w:val="both"/>
        <w:rPr>
          <w:rFonts w:asciiTheme="majorBidi" w:hAnsiTheme="majorBidi" w:cstheme="majorBidi"/>
          <w:b/>
          <w:bCs/>
          <w:color w:val="000000" w:themeColor="text1"/>
          <w:sz w:val="24"/>
          <w:szCs w:val="24"/>
        </w:rPr>
      </w:pPr>
      <w:r w:rsidRPr="00264E58">
        <w:rPr>
          <w:rFonts w:asciiTheme="majorBidi" w:hAnsiTheme="majorBidi" w:cstheme="majorBidi"/>
          <w:b/>
          <w:bCs/>
          <w:color w:val="000000" w:themeColor="text1"/>
          <w:sz w:val="24"/>
          <w:szCs w:val="24"/>
        </w:rPr>
        <w:lastRenderedPageBreak/>
        <w:t>GEMB Panel Dataset</w:t>
      </w:r>
    </w:p>
    <w:p w14:paraId="24692BB2" w14:textId="5EBDFD11" w:rsidR="00C778A9" w:rsidRPr="00264E58" w:rsidRDefault="00C778A9" w:rsidP="009E565D">
      <w:pPr>
        <w:snapToGrid w:val="0"/>
        <w:spacing w:after="0" w:line="240" w:lineRule="auto"/>
        <w:jc w:val="both"/>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Format: Excel, easily transferrable to R and Stata</w:t>
      </w:r>
    </w:p>
    <w:p w14:paraId="2D172684" w14:textId="77777777" w:rsidR="00264E58" w:rsidRDefault="00264E58" w:rsidP="009E565D">
      <w:pPr>
        <w:snapToGrid w:val="0"/>
        <w:spacing w:after="0" w:line="240" w:lineRule="auto"/>
        <w:jc w:val="both"/>
        <w:rPr>
          <w:rFonts w:asciiTheme="majorBidi" w:hAnsiTheme="majorBidi" w:cstheme="majorBidi"/>
          <w:color w:val="000000" w:themeColor="text1"/>
          <w:sz w:val="24"/>
          <w:szCs w:val="24"/>
        </w:rPr>
      </w:pPr>
    </w:p>
    <w:p w14:paraId="5F3D41E3" w14:textId="01FCDBDD" w:rsidR="00264E58" w:rsidRDefault="00264E58" w:rsidP="009E565D">
      <w:pPr>
        <w:snapToGrid w:val="0"/>
        <w:spacing w:after="0" w:line="240" w:lineRule="auto"/>
        <w:jc w:val="both"/>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w:t>
      </w:r>
    </w:p>
    <w:p w14:paraId="57F172C7" w14:textId="796AE7D2" w:rsidR="00264E58" w:rsidRPr="00264E58" w:rsidRDefault="00264E58" w:rsidP="009E565D">
      <w:pPr>
        <w:snapToGrid w:val="0"/>
        <w:spacing w:after="0" w:line="240" w:lineRule="auto"/>
        <w:jc w:val="both"/>
        <w:rPr>
          <w:rFonts w:asciiTheme="majorBidi" w:hAnsiTheme="majorBidi" w:cstheme="majorBidi"/>
          <w:b/>
          <w:bCs/>
          <w:color w:val="000000" w:themeColor="text1"/>
          <w:sz w:val="24"/>
          <w:szCs w:val="24"/>
        </w:rPr>
      </w:pPr>
      <w:r w:rsidRPr="00264E58">
        <w:rPr>
          <w:rFonts w:asciiTheme="majorBidi" w:hAnsiTheme="majorBidi" w:cstheme="majorBidi"/>
          <w:b/>
          <w:bCs/>
          <w:color w:val="000000" w:themeColor="text1"/>
          <w:sz w:val="24"/>
          <w:szCs w:val="24"/>
        </w:rPr>
        <w:t>Identification variables</w:t>
      </w:r>
      <w:r w:rsidR="008719EA">
        <w:rPr>
          <w:rFonts w:asciiTheme="majorBidi" w:hAnsiTheme="majorBidi" w:cstheme="majorBidi"/>
          <w:b/>
          <w:bCs/>
          <w:color w:val="000000" w:themeColor="text1"/>
          <w:sz w:val="24"/>
          <w:szCs w:val="24"/>
        </w:rPr>
        <w:t xml:space="preserve"> – UN DESA</w:t>
      </w:r>
    </w:p>
    <w:p w14:paraId="29AE001C" w14:textId="55797D78" w:rsidR="00264E58" w:rsidRDefault="00264E58"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Country name</w:t>
      </w:r>
    </w:p>
    <w:p w14:paraId="3FDB37AC" w14:textId="2DF61B13" w:rsidR="00264E58" w:rsidRDefault="00264E58"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Country code</w:t>
      </w:r>
    </w:p>
    <w:p w14:paraId="1C191D4A" w14:textId="48B46336" w:rsidR="00264E58" w:rsidRDefault="00264E58"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Year (1990 – 2025)</w:t>
      </w:r>
    </w:p>
    <w:p w14:paraId="675A324C" w14:textId="6EDE25FC" w:rsidR="00264E58" w:rsidRPr="004B493A" w:rsidRDefault="00264E58" w:rsidP="00264E58">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Dummy develop</w:t>
      </w:r>
      <w:r>
        <w:rPr>
          <w:rFonts w:asciiTheme="majorBidi" w:hAnsiTheme="majorBidi" w:cstheme="majorBidi"/>
          <w:color w:val="000000" w:themeColor="text1"/>
          <w:sz w:val="24"/>
          <w:szCs w:val="24"/>
        </w:rPr>
        <w:t>ed</w:t>
      </w:r>
      <w:r>
        <w:rPr>
          <w:rFonts w:asciiTheme="majorBidi" w:hAnsiTheme="majorBidi" w:cstheme="majorBidi"/>
          <w:color w:val="000000" w:themeColor="text1"/>
          <w:sz w:val="24"/>
          <w:szCs w:val="24"/>
        </w:rPr>
        <w:t xml:space="preserve"> countries</w:t>
      </w:r>
    </w:p>
    <w:p w14:paraId="7214AEF8" w14:textId="592FC8CA" w:rsidR="00264E58" w:rsidRDefault="00264E58"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Dummy developing countries</w:t>
      </w:r>
    </w:p>
    <w:p w14:paraId="2006321C" w14:textId="10F0D4B5" w:rsidR="00264E58" w:rsidRDefault="00264E58" w:rsidP="00264E58">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Dummy </w:t>
      </w:r>
      <w:r>
        <w:rPr>
          <w:rFonts w:asciiTheme="majorBidi" w:hAnsiTheme="majorBidi" w:cstheme="majorBidi"/>
          <w:color w:val="000000" w:themeColor="text1"/>
          <w:sz w:val="24"/>
          <w:szCs w:val="24"/>
        </w:rPr>
        <w:t>transition economies</w:t>
      </w:r>
    </w:p>
    <w:p w14:paraId="2B39D8EA" w14:textId="752313E9" w:rsidR="00264E58" w:rsidRDefault="00264E58" w:rsidP="00264E58">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Dummy </w:t>
      </w:r>
      <w:r>
        <w:rPr>
          <w:rFonts w:asciiTheme="majorBidi" w:hAnsiTheme="majorBidi" w:cstheme="majorBidi"/>
          <w:color w:val="000000" w:themeColor="text1"/>
          <w:sz w:val="24"/>
          <w:szCs w:val="24"/>
        </w:rPr>
        <w:t>developing countries</w:t>
      </w:r>
      <w:r>
        <w:rPr>
          <w:rFonts w:asciiTheme="majorBidi" w:hAnsiTheme="majorBidi" w:cstheme="majorBidi"/>
          <w:color w:val="000000" w:themeColor="text1"/>
          <w:sz w:val="24"/>
          <w:szCs w:val="24"/>
        </w:rPr>
        <w:t xml:space="preserve"> + transition economies</w:t>
      </w:r>
    </w:p>
    <w:p w14:paraId="2033426A" w14:textId="0D6879B5" w:rsidR="00264E58" w:rsidRDefault="00264E58" w:rsidP="00264E58">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Dummy for each developing region according to WESP</w:t>
      </w:r>
    </w:p>
    <w:p w14:paraId="30CC60D2" w14:textId="77777777" w:rsidR="00421D1A" w:rsidRDefault="00421D1A" w:rsidP="00264E58">
      <w:pPr>
        <w:snapToGrid w:val="0"/>
        <w:spacing w:after="0" w:line="240" w:lineRule="auto"/>
        <w:jc w:val="both"/>
        <w:rPr>
          <w:rFonts w:asciiTheme="majorBidi" w:hAnsiTheme="majorBidi" w:cstheme="majorBidi"/>
          <w:b/>
          <w:bCs/>
          <w:color w:val="000000" w:themeColor="text1"/>
          <w:sz w:val="24"/>
          <w:szCs w:val="24"/>
        </w:rPr>
      </w:pPr>
    </w:p>
    <w:p w14:paraId="589D1FCF" w14:textId="1BE1642A" w:rsidR="00264E58" w:rsidRDefault="00264E58" w:rsidP="00264E58">
      <w:pPr>
        <w:snapToGrid w:val="0"/>
        <w:spacing w:after="0" w:line="240" w:lineRule="auto"/>
        <w:jc w:val="both"/>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w:t>
      </w:r>
    </w:p>
    <w:p w14:paraId="2E8D7865" w14:textId="372A2DB0" w:rsidR="00264E58" w:rsidRDefault="008719EA" w:rsidP="009E565D">
      <w:pPr>
        <w:snapToGrid w:val="0"/>
        <w:spacing w:after="0" w:line="240" w:lineRule="auto"/>
        <w:jc w:val="both"/>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V</w:t>
      </w:r>
      <w:r w:rsidR="00264E58">
        <w:rPr>
          <w:rFonts w:asciiTheme="majorBidi" w:hAnsiTheme="majorBidi" w:cstheme="majorBidi"/>
          <w:b/>
          <w:bCs/>
          <w:color w:val="000000" w:themeColor="text1"/>
          <w:sz w:val="24"/>
          <w:szCs w:val="24"/>
        </w:rPr>
        <w:t>ariables</w:t>
      </w:r>
      <w:r>
        <w:rPr>
          <w:rFonts w:asciiTheme="majorBidi" w:hAnsiTheme="majorBidi" w:cstheme="majorBidi"/>
          <w:b/>
          <w:bCs/>
          <w:color w:val="000000" w:themeColor="text1"/>
          <w:sz w:val="24"/>
          <w:szCs w:val="24"/>
        </w:rPr>
        <w:t xml:space="preserve"> WEFM – UN DESA</w:t>
      </w:r>
    </w:p>
    <w:p w14:paraId="46C54D99" w14:textId="44E52C45" w:rsidR="003B729D" w:rsidRDefault="003B729D"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Total GDP nominal</w:t>
      </w:r>
    </w:p>
    <w:p w14:paraId="0316072D" w14:textId="6E6DECD0" w:rsidR="003B729D" w:rsidRDefault="003B729D"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GDP per capita</w:t>
      </w:r>
      <w:r w:rsidR="001E4EAC">
        <w:rPr>
          <w:rFonts w:asciiTheme="majorBidi" w:hAnsiTheme="majorBidi" w:cstheme="majorBidi"/>
          <w:color w:val="000000" w:themeColor="text1"/>
          <w:sz w:val="24"/>
          <w:szCs w:val="24"/>
        </w:rPr>
        <w:t xml:space="preserve"> nominal</w:t>
      </w:r>
    </w:p>
    <w:p w14:paraId="76E5EA2C" w14:textId="22FD6CF1" w:rsidR="001E4EAC" w:rsidRDefault="001E4EAC"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GDP per capita constant prices</w:t>
      </w:r>
    </w:p>
    <w:p w14:paraId="618E0B51" w14:textId="59D85F9A" w:rsidR="001E4EAC" w:rsidRDefault="001E4EAC"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GDP per capita growth (constant prices)</w:t>
      </w:r>
    </w:p>
    <w:p w14:paraId="237F751F" w14:textId="2923356D" w:rsidR="00264E58" w:rsidRDefault="00264E58" w:rsidP="009E565D">
      <w:pPr>
        <w:snapToGrid w:val="0"/>
        <w:spacing w:after="0" w:line="240" w:lineRule="auto"/>
        <w:jc w:val="both"/>
        <w:rPr>
          <w:rFonts w:asciiTheme="majorBidi" w:hAnsiTheme="majorBidi" w:cstheme="majorBidi"/>
          <w:color w:val="000000" w:themeColor="text1"/>
          <w:sz w:val="24"/>
          <w:szCs w:val="24"/>
        </w:rPr>
      </w:pPr>
      <w:r w:rsidRPr="00264E58">
        <w:rPr>
          <w:rFonts w:asciiTheme="majorBidi" w:hAnsiTheme="majorBidi" w:cstheme="majorBidi"/>
          <w:color w:val="000000" w:themeColor="text1"/>
          <w:sz w:val="24"/>
          <w:szCs w:val="24"/>
        </w:rPr>
        <w:t>GDP growth</w:t>
      </w:r>
    </w:p>
    <w:p w14:paraId="2C330DF2" w14:textId="7F28CD08" w:rsidR="00264E58" w:rsidRDefault="00264E58"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Inflation</w:t>
      </w:r>
      <w:r w:rsidR="008E0BCA">
        <w:rPr>
          <w:rFonts w:asciiTheme="majorBidi" w:hAnsiTheme="majorBidi" w:cstheme="majorBidi"/>
          <w:color w:val="000000" w:themeColor="text1"/>
          <w:sz w:val="24"/>
          <w:szCs w:val="24"/>
        </w:rPr>
        <w:t xml:space="preserve"> (annual average)</w:t>
      </w:r>
    </w:p>
    <w:p w14:paraId="1A9F9F93" w14:textId="67AAAD54" w:rsidR="00421D1A" w:rsidRDefault="00421D1A"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Inflation volatility (TBD)</w:t>
      </w:r>
    </w:p>
    <w:p w14:paraId="29A71C15" w14:textId="21462253" w:rsidR="00264E58" w:rsidRDefault="008719EA"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Investment over GDP</w:t>
      </w:r>
    </w:p>
    <w:p w14:paraId="69CCE007" w14:textId="215DE39C" w:rsidR="003B729D" w:rsidRDefault="003B729D"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Real investment growth</w:t>
      </w:r>
      <w:r w:rsidR="001E4EAC">
        <w:rPr>
          <w:rFonts w:asciiTheme="majorBidi" w:hAnsiTheme="majorBidi" w:cstheme="majorBidi"/>
          <w:color w:val="000000" w:themeColor="text1"/>
          <w:sz w:val="24"/>
          <w:szCs w:val="24"/>
        </w:rPr>
        <w:t xml:space="preserve"> (GFKF)</w:t>
      </w:r>
    </w:p>
    <w:p w14:paraId="4C3EB5A1" w14:textId="00F24850" w:rsidR="008719EA" w:rsidRDefault="008719EA"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Private investment over GDP </w:t>
      </w:r>
    </w:p>
    <w:p w14:paraId="548EA393" w14:textId="4720B1E2" w:rsidR="008719EA" w:rsidRDefault="001E4EAC"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Unemployment rate</w:t>
      </w:r>
      <w:r w:rsidR="008E0BCA">
        <w:rPr>
          <w:rFonts w:asciiTheme="majorBidi" w:hAnsiTheme="majorBidi" w:cstheme="majorBidi"/>
          <w:color w:val="000000" w:themeColor="text1"/>
          <w:sz w:val="24"/>
          <w:szCs w:val="24"/>
        </w:rPr>
        <w:t xml:space="preserve"> (annual average)</w:t>
      </w:r>
    </w:p>
    <w:p w14:paraId="72C28E65" w14:textId="77777777" w:rsidR="008719EA" w:rsidRDefault="008719EA" w:rsidP="009E565D">
      <w:pPr>
        <w:snapToGrid w:val="0"/>
        <w:spacing w:after="0" w:line="240" w:lineRule="auto"/>
        <w:jc w:val="both"/>
        <w:rPr>
          <w:rFonts w:asciiTheme="majorBidi" w:hAnsiTheme="majorBidi" w:cstheme="majorBidi"/>
          <w:color w:val="000000" w:themeColor="text1"/>
          <w:sz w:val="24"/>
          <w:szCs w:val="24"/>
        </w:rPr>
      </w:pPr>
    </w:p>
    <w:p w14:paraId="5E10095A" w14:textId="77777777" w:rsidR="008719EA" w:rsidRDefault="008719EA" w:rsidP="008719EA">
      <w:pPr>
        <w:snapToGrid w:val="0"/>
        <w:spacing w:after="0" w:line="240" w:lineRule="auto"/>
        <w:jc w:val="both"/>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w:t>
      </w:r>
    </w:p>
    <w:p w14:paraId="2843B6E3" w14:textId="5445D9F1" w:rsidR="008719EA" w:rsidRDefault="008719EA" w:rsidP="008719EA">
      <w:pPr>
        <w:snapToGrid w:val="0"/>
        <w:spacing w:after="0" w:line="240" w:lineRule="auto"/>
        <w:jc w:val="both"/>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 xml:space="preserve">Variables </w:t>
      </w:r>
      <w:r>
        <w:rPr>
          <w:rFonts w:asciiTheme="majorBidi" w:hAnsiTheme="majorBidi" w:cstheme="majorBidi"/>
          <w:b/>
          <w:bCs/>
          <w:color w:val="000000" w:themeColor="text1"/>
          <w:sz w:val="24"/>
          <w:szCs w:val="24"/>
        </w:rPr>
        <w:t>from other sources</w:t>
      </w:r>
      <w:r w:rsidR="00421D1A">
        <w:rPr>
          <w:rFonts w:asciiTheme="majorBidi" w:hAnsiTheme="majorBidi" w:cstheme="majorBidi"/>
          <w:b/>
          <w:bCs/>
          <w:color w:val="000000" w:themeColor="text1"/>
          <w:sz w:val="24"/>
          <w:szCs w:val="24"/>
        </w:rPr>
        <w:t xml:space="preserve"> (panel format)</w:t>
      </w:r>
    </w:p>
    <w:p w14:paraId="48CBD93D" w14:textId="04DC0ED5" w:rsidR="008719EA" w:rsidRDefault="008719EA" w:rsidP="008719EA">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Interest rates (annual average) </w:t>
      </w:r>
      <w:r w:rsidR="001E4EAC">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Source:</w:t>
      </w:r>
      <w:r w:rsidR="008E0BCA">
        <w:rPr>
          <w:rFonts w:asciiTheme="majorBidi" w:hAnsiTheme="majorBidi" w:cstheme="majorBidi"/>
          <w:color w:val="000000" w:themeColor="text1"/>
          <w:sz w:val="24"/>
          <w:szCs w:val="24"/>
        </w:rPr>
        <w:t xml:space="preserve"> Different options</w:t>
      </w:r>
    </w:p>
    <w:p w14:paraId="57B133C9" w14:textId="64BC83E6" w:rsidR="003B729D" w:rsidRDefault="003B729D"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Gross fixed capital formation</w:t>
      </w:r>
      <w:r w:rsidR="0009404D">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 xml:space="preserve"> </w:t>
      </w:r>
      <w:r w:rsidR="001E4EAC">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Source: World Bank</w:t>
      </w:r>
    </w:p>
    <w:p w14:paraId="4A204C75" w14:textId="7BD81375" w:rsidR="00496FA7" w:rsidRDefault="00496FA7"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Credit to private sector (%GDP)</w:t>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t>Source: BIS / World Bank</w:t>
      </w:r>
    </w:p>
    <w:p w14:paraId="4EAC7627" w14:textId="3AB84448" w:rsidR="008719EA" w:rsidRDefault="003B729D"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R&amp;D over GDP </w:t>
      </w:r>
      <w:r w:rsidR="001E4EAC">
        <w:rPr>
          <w:rFonts w:asciiTheme="majorBidi" w:hAnsiTheme="majorBidi" w:cstheme="majorBidi"/>
          <w:color w:val="000000" w:themeColor="text1"/>
          <w:sz w:val="24"/>
          <w:szCs w:val="24"/>
        </w:rPr>
        <w:tab/>
      </w:r>
      <w:r w:rsidR="001E4EAC">
        <w:rPr>
          <w:rFonts w:asciiTheme="majorBidi" w:hAnsiTheme="majorBidi" w:cstheme="majorBidi"/>
          <w:color w:val="000000" w:themeColor="text1"/>
          <w:sz w:val="24"/>
          <w:szCs w:val="24"/>
        </w:rPr>
        <w:tab/>
      </w:r>
      <w:r w:rsidR="001E4EAC">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Source: UNESCO</w:t>
      </w:r>
    </w:p>
    <w:p w14:paraId="4611F8EB" w14:textId="6A3BA992" w:rsidR="003B729D" w:rsidRDefault="003B729D"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Real effective exchange rate </w:t>
      </w:r>
      <w:r w:rsidR="001E4EAC">
        <w:rPr>
          <w:rFonts w:asciiTheme="majorBidi" w:hAnsiTheme="majorBidi" w:cstheme="majorBidi"/>
          <w:color w:val="000000" w:themeColor="text1"/>
          <w:sz w:val="24"/>
          <w:szCs w:val="24"/>
        </w:rPr>
        <w:tab/>
      </w:r>
      <w:r w:rsidR="001E4EAC">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 xml:space="preserve">Source: World Bank. </w:t>
      </w:r>
    </w:p>
    <w:p w14:paraId="50B5E83E" w14:textId="24B7F47A" w:rsidR="003B729D" w:rsidRDefault="003B729D"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Trade </w:t>
      </w:r>
      <w:r w:rsidR="00736A20">
        <w:rPr>
          <w:rFonts w:asciiTheme="majorBidi" w:hAnsiTheme="majorBidi" w:cstheme="majorBidi"/>
          <w:color w:val="000000" w:themeColor="text1"/>
          <w:sz w:val="24"/>
          <w:szCs w:val="24"/>
        </w:rPr>
        <w:t>openness (</w:t>
      </w:r>
      <w:r>
        <w:rPr>
          <w:rFonts w:asciiTheme="majorBidi" w:hAnsiTheme="majorBidi" w:cstheme="majorBidi"/>
          <w:color w:val="000000" w:themeColor="text1"/>
          <w:sz w:val="24"/>
          <w:szCs w:val="24"/>
        </w:rPr>
        <w:t xml:space="preserve">X+I </w:t>
      </w:r>
      <w:r w:rsidR="00736A20">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GDP) </w:t>
      </w:r>
      <w:r w:rsidR="001E4EAC">
        <w:rPr>
          <w:rFonts w:asciiTheme="majorBidi" w:hAnsiTheme="majorBidi" w:cstheme="majorBidi"/>
          <w:color w:val="000000" w:themeColor="text1"/>
          <w:sz w:val="24"/>
          <w:szCs w:val="24"/>
        </w:rPr>
        <w:tab/>
      </w:r>
      <w:r w:rsidR="0009404D">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Source: W</w:t>
      </w:r>
      <w:r w:rsidR="006E315F">
        <w:rPr>
          <w:rFonts w:asciiTheme="majorBidi" w:hAnsiTheme="majorBidi" w:cstheme="majorBidi"/>
          <w:color w:val="000000" w:themeColor="text1"/>
          <w:sz w:val="24"/>
          <w:szCs w:val="24"/>
        </w:rPr>
        <w:t>DI, World Bank</w:t>
      </w:r>
    </w:p>
    <w:p w14:paraId="276FD93F" w14:textId="404F3A9E" w:rsidR="001E4EAC" w:rsidRDefault="001E4EAC" w:rsidP="009E565D">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Growth labor productivity per person</w:t>
      </w:r>
      <w:r>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 xml:space="preserve">Source: The Conference Board. </w:t>
      </w:r>
    </w:p>
    <w:p w14:paraId="27A44D22" w14:textId="23C4FDD8" w:rsidR="001E4EAC" w:rsidRDefault="001E4EAC" w:rsidP="001E4EAC">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Growth labor productivity per </w:t>
      </w:r>
      <w:r>
        <w:rPr>
          <w:rFonts w:asciiTheme="majorBidi" w:hAnsiTheme="majorBidi" w:cstheme="majorBidi"/>
          <w:color w:val="000000" w:themeColor="text1"/>
          <w:sz w:val="24"/>
          <w:szCs w:val="24"/>
        </w:rPr>
        <w:t>hour</w:t>
      </w:r>
      <w:r>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 xml:space="preserve">Source: The Conference Board. </w:t>
      </w:r>
    </w:p>
    <w:p w14:paraId="5841A7B3" w14:textId="574B18D7" w:rsidR="0009404D" w:rsidRDefault="006E315F" w:rsidP="001E4EAC">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G</w:t>
      </w:r>
      <w:r w:rsidR="0009404D" w:rsidRPr="0009404D">
        <w:rPr>
          <w:rFonts w:asciiTheme="majorBidi" w:hAnsiTheme="majorBidi" w:cstheme="majorBidi"/>
          <w:color w:val="000000" w:themeColor="text1"/>
          <w:sz w:val="24"/>
          <w:szCs w:val="24"/>
        </w:rPr>
        <w:t>overnment consumption expenditure</w:t>
      </w:r>
      <w:r w:rsidR="0009404D">
        <w:rPr>
          <w:rFonts w:asciiTheme="majorBidi" w:hAnsiTheme="majorBidi" w:cstheme="majorBidi"/>
          <w:color w:val="000000" w:themeColor="text1"/>
          <w:sz w:val="24"/>
          <w:szCs w:val="24"/>
        </w:rPr>
        <w:t xml:space="preserve"> (%</w:t>
      </w:r>
      <w:r w:rsidR="00890BCD">
        <w:rPr>
          <w:rFonts w:asciiTheme="majorBidi" w:hAnsiTheme="majorBidi" w:cstheme="majorBidi"/>
          <w:color w:val="000000" w:themeColor="text1"/>
          <w:sz w:val="24"/>
          <w:szCs w:val="24"/>
        </w:rPr>
        <w:t xml:space="preserve"> </w:t>
      </w:r>
      <w:r w:rsidR="0009404D">
        <w:rPr>
          <w:rFonts w:asciiTheme="majorBidi" w:hAnsiTheme="majorBidi" w:cstheme="majorBidi"/>
          <w:color w:val="000000" w:themeColor="text1"/>
          <w:sz w:val="24"/>
          <w:szCs w:val="24"/>
        </w:rPr>
        <w:t xml:space="preserve">GDP) </w:t>
      </w:r>
      <w:r>
        <w:rPr>
          <w:rFonts w:asciiTheme="majorBidi" w:hAnsiTheme="majorBidi" w:cstheme="majorBidi"/>
          <w:color w:val="000000" w:themeColor="text1"/>
          <w:sz w:val="24"/>
          <w:szCs w:val="24"/>
        </w:rPr>
        <w:tab/>
      </w:r>
      <w:r w:rsidR="0009404D">
        <w:rPr>
          <w:rFonts w:asciiTheme="majorBidi" w:hAnsiTheme="majorBidi" w:cstheme="majorBidi"/>
          <w:color w:val="000000" w:themeColor="text1"/>
          <w:sz w:val="24"/>
          <w:szCs w:val="24"/>
        </w:rPr>
        <w:t>Source: World Bank</w:t>
      </w:r>
    </w:p>
    <w:p w14:paraId="682CAE80" w14:textId="0F454942" w:rsidR="00890BCD" w:rsidRDefault="00890BCD" w:rsidP="001E4EAC">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Government gross debt over GDP</w:t>
      </w:r>
      <w:r>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Source: IMF</w:t>
      </w:r>
    </w:p>
    <w:p w14:paraId="6CA03D7F" w14:textId="6B72387F" w:rsidR="00890BCD" w:rsidRDefault="00890BCD" w:rsidP="001E4EAC">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Public revenue </w:t>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Source: IMF</w:t>
      </w:r>
    </w:p>
    <w:p w14:paraId="1F25CBAA" w14:textId="2B216753" w:rsidR="00890BCD" w:rsidRDefault="00890BCD" w:rsidP="001E4EAC">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Public expenditures </w:t>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Source: IMF</w:t>
      </w:r>
    </w:p>
    <w:p w14:paraId="619DC873" w14:textId="11B9FA41" w:rsidR="0009404D" w:rsidRDefault="0009404D" w:rsidP="001E4EAC">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Interest payments </w:t>
      </w:r>
      <w:r w:rsidR="006E315F">
        <w:rPr>
          <w:rFonts w:asciiTheme="majorBidi" w:hAnsiTheme="majorBidi" w:cstheme="majorBidi"/>
          <w:color w:val="000000" w:themeColor="text1"/>
          <w:sz w:val="24"/>
          <w:szCs w:val="24"/>
        </w:rPr>
        <w:t xml:space="preserve">(% </w:t>
      </w:r>
      <w:r>
        <w:rPr>
          <w:rFonts w:asciiTheme="majorBidi" w:hAnsiTheme="majorBidi" w:cstheme="majorBidi"/>
          <w:color w:val="000000" w:themeColor="text1"/>
          <w:sz w:val="24"/>
          <w:szCs w:val="24"/>
        </w:rPr>
        <w:t>GDP</w:t>
      </w:r>
      <w:r w:rsidR="006E315F">
        <w:rPr>
          <w:rFonts w:asciiTheme="majorBidi" w:hAnsiTheme="majorBidi" w:cstheme="majorBidi"/>
          <w:color w:val="000000" w:themeColor="text1"/>
          <w:sz w:val="24"/>
          <w:szCs w:val="24"/>
        </w:rPr>
        <w:t>)</w:t>
      </w:r>
      <w:r w:rsidR="00890BCD">
        <w:rPr>
          <w:rFonts w:asciiTheme="majorBidi" w:hAnsiTheme="majorBidi" w:cstheme="majorBidi"/>
          <w:color w:val="000000" w:themeColor="text1"/>
          <w:sz w:val="24"/>
          <w:szCs w:val="24"/>
        </w:rPr>
        <w:t xml:space="preserve"> </w:t>
      </w:r>
      <w:r w:rsidR="00890BCD">
        <w:rPr>
          <w:rFonts w:asciiTheme="majorBidi" w:hAnsiTheme="majorBidi" w:cstheme="majorBidi"/>
          <w:color w:val="000000" w:themeColor="text1"/>
          <w:sz w:val="24"/>
          <w:szCs w:val="24"/>
        </w:rPr>
        <w:tab/>
      </w:r>
      <w:r w:rsidR="00890BCD">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sidR="00890BCD">
        <w:rPr>
          <w:rFonts w:asciiTheme="majorBidi" w:hAnsiTheme="majorBidi" w:cstheme="majorBidi"/>
          <w:color w:val="000000" w:themeColor="text1"/>
          <w:sz w:val="24"/>
          <w:szCs w:val="24"/>
        </w:rPr>
        <w:t xml:space="preserve">Source: </w:t>
      </w:r>
      <w:r w:rsidR="00890BCD" w:rsidRPr="00890BCD">
        <w:rPr>
          <w:rFonts w:asciiTheme="majorBidi" w:hAnsiTheme="majorBidi" w:cstheme="majorBidi"/>
          <w:color w:val="000000" w:themeColor="text1"/>
          <w:sz w:val="24"/>
          <w:szCs w:val="24"/>
        </w:rPr>
        <w:t>IMF</w:t>
      </w:r>
    </w:p>
    <w:p w14:paraId="247E4188" w14:textId="04BD04BB" w:rsidR="0009404D" w:rsidRDefault="0009404D" w:rsidP="001E4EAC">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Interest payments </w:t>
      </w:r>
      <w:r w:rsidR="006E315F">
        <w:rPr>
          <w:rFonts w:asciiTheme="majorBidi" w:hAnsiTheme="majorBidi" w:cstheme="majorBidi"/>
          <w:color w:val="000000" w:themeColor="text1"/>
          <w:sz w:val="24"/>
          <w:szCs w:val="24"/>
        </w:rPr>
        <w:t xml:space="preserve">(% of revenues) </w:t>
      </w:r>
      <w:r w:rsidR="006E315F">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sidR="00890BCD">
        <w:rPr>
          <w:rFonts w:asciiTheme="majorBidi" w:hAnsiTheme="majorBidi" w:cstheme="majorBidi"/>
          <w:color w:val="000000" w:themeColor="text1"/>
          <w:sz w:val="24"/>
          <w:szCs w:val="24"/>
        </w:rPr>
        <w:t xml:space="preserve">Source: IMF WEO </w:t>
      </w:r>
    </w:p>
    <w:p w14:paraId="60077727" w14:textId="44FC03D8" w:rsidR="00890BCD" w:rsidRDefault="00890BCD" w:rsidP="001E4EAC">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Property right index </w:t>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sidR="006E315F">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Source: World Bank</w:t>
      </w:r>
    </w:p>
    <w:p w14:paraId="5FAF7CF7" w14:textId="32FDD943" w:rsidR="003831FA" w:rsidRDefault="003831FA" w:rsidP="006E315F">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Average years of schooling</w:t>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t>Source: World Bank</w:t>
      </w:r>
    </w:p>
    <w:p w14:paraId="30E39558" w14:textId="05A22737" w:rsidR="003831FA" w:rsidRDefault="003831FA" w:rsidP="006E315F">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lastRenderedPageBreak/>
        <w:t xml:space="preserve">Life expectancy </w:t>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Source: World Bank</w:t>
      </w:r>
    </w:p>
    <w:p w14:paraId="49C3C45D" w14:textId="0D5EEBB5" w:rsidR="003831FA" w:rsidRDefault="003831FA" w:rsidP="006E315F">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Population</w:t>
      </w:r>
      <w:r w:rsidRPr="003831FA">
        <w:rPr>
          <w:rFonts w:asciiTheme="majorBidi" w:hAnsiTheme="majorBidi" w:cstheme="majorBidi"/>
          <w:color w:val="000000" w:themeColor="text1"/>
          <w:sz w:val="24"/>
          <w:szCs w:val="24"/>
        </w:rPr>
        <w:t xml:space="preserve"> </w:t>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Source: World Bank</w:t>
      </w:r>
    </w:p>
    <w:p w14:paraId="63C4BB1B" w14:textId="00BFCACC" w:rsidR="003831FA" w:rsidRDefault="003831FA" w:rsidP="006E315F">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Population over 65 </w:t>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Source: World Bank</w:t>
      </w:r>
    </w:p>
    <w:p w14:paraId="61019857" w14:textId="1A34676C" w:rsidR="003831FA" w:rsidRDefault="003831FA" w:rsidP="006E315F">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Population ages 0-14 </w:t>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Source: World Bank</w:t>
      </w:r>
    </w:p>
    <w:p w14:paraId="4E6D2CE8" w14:textId="77777777" w:rsidR="00496FA7" w:rsidRDefault="00496FA7" w:rsidP="00496FA7">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Terms of trade index</w:t>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t>Source: WB / UNCTAD</w:t>
      </w:r>
    </w:p>
    <w:p w14:paraId="257F99AF" w14:textId="2E85F164" w:rsidR="006E315F" w:rsidRDefault="006E315F" w:rsidP="006E315F">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Commodity price</w:t>
      </w:r>
      <w:r>
        <w:rPr>
          <w:rFonts w:asciiTheme="majorBidi" w:hAnsiTheme="majorBidi" w:cstheme="majorBidi"/>
          <w:color w:val="000000" w:themeColor="text1"/>
          <w:sz w:val="24"/>
          <w:szCs w:val="24"/>
        </w:rPr>
        <w:t xml:space="preserve"> index (Collier/Goderis index)</w:t>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 xml:space="preserve">Source: </w:t>
      </w:r>
      <w:r>
        <w:rPr>
          <w:rFonts w:asciiTheme="majorBidi" w:hAnsiTheme="majorBidi" w:cstheme="majorBidi"/>
          <w:color w:val="000000" w:themeColor="text1"/>
          <w:sz w:val="24"/>
          <w:szCs w:val="24"/>
        </w:rPr>
        <w:t>COMTRADE</w:t>
      </w:r>
    </w:p>
    <w:p w14:paraId="30B1A447" w14:textId="43EE1D99" w:rsidR="001E4EAC" w:rsidRDefault="00496FA7" w:rsidP="00496FA7">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Manufacturing value added (% GDP)</w:t>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t>Source: World Bank</w:t>
      </w:r>
    </w:p>
    <w:p w14:paraId="561429E8" w14:textId="77777777" w:rsidR="00421D1A" w:rsidRDefault="00421D1A" w:rsidP="00421D1A">
      <w:pPr>
        <w:snapToGrid w:val="0"/>
        <w:spacing w:after="0" w:line="240" w:lineRule="auto"/>
        <w:jc w:val="both"/>
        <w:rPr>
          <w:rFonts w:asciiTheme="majorBidi" w:hAnsiTheme="majorBidi" w:cstheme="majorBidi"/>
          <w:b/>
          <w:bCs/>
          <w:color w:val="000000" w:themeColor="text1"/>
          <w:sz w:val="24"/>
          <w:szCs w:val="24"/>
        </w:rPr>
      </w:pPr>
    </w:p>
    <w:p w14:paraId="7CC1AD23" w14:textId="17EC0F50" w:rsidR="00421D1A" w:rsidRDefault="00421D1A" w:rsidP="00421D1A">
      <w:pPr>
        <w:snapToGrid w:val="0"/>
        <w:spacing w:after="0" w:line="240" w:lineRule="auto"/>
        <w:jc w:val="both"/>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w:t>
      </w:r>
    </w:p>
    <w:p w14:paraId="2D1C0F3A" w14:textId="59F20941" w:rsidR="00421D1A" w:rsidRDefault="00421D1A" w:rsidP="00421D1A">
      <w:pPr>
        <w:snapToGrid w:val="0"/>
        <w:spacing w:after="0" w:line="240" w:lineRule="auto"/>
        <w:jc w:val="both"/>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Variables from other sources (</w:t>
      </w:r>
      <w:r>
        <w:rPr>
          <w:rFonts w:asciiTheme="majorBidi" w:hAnsiTheme="majorBidi" w:cstheme="majorBidi"/>
          <w:b/>
          <w:bCs/>
          <w:color w:val="000000" w:themeColor="text1"/>
          <w:sz w:val="24"/>
          <w:szCs w:val="24"/>
        </w:rPr>
        <w:t>common across countries</w:t>
      </w:r>
      <w:r>
        <w:rPr>
          <w:rFonts w:asciiTheme="majorBidi" w:hAnsiTheme="majorBidi" w:cstheme="majorBidi"/>
          <w:b/>
          <w:bCs/>
          <w:color w:val="000000" w:themeColor="text1"/>
          <w:sz w:val="24"/>
          <w:szCs w:val="24"/>
        </w:rPr>
        <w:t>)</w:t>
      </w:r>
    </w:p>
    <w:p w14:paraId="3F0758F2" w14:textId="77777777" w:rsidR="00421D1A" w:rsidRDefault="00421D1A" w:rsidP="00421D1A">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Commodity prices</w:t>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t xml:space="preserve">Source: IMF </w:t>
      </w:r>
      <w:r>
        <w:rPr>
          <w:rFonts w:asciiTheme="majorBidi" w:hAnsiTheme="majorBidi" w:cstheme="majorBidi"/>
          <w:color w:val="000000" w:themeColor="text1"/>
          <w:sz w:val="24"/>
          <w:szCs w:val="24"/>
        </w:rPr>
        <w:tab/>
      </w:r>
    </w:p>
    <w:p w14:paraId="1B6A5E88" w14:textId="2F927959" w:rsidR="00421D1A" w:rsidRDefault="00421D1A" w:rsidP="00421D1A">
      <w:pPr>
        <w:snapToGrid w:val="0"/>
        <w:spacing w:after="0" w:line="24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Global uncertainty index </w:t>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t>Source: IMF</w:t>
      </w:r>
    </w:p>
    <w:p w14:paraId="57CC2D60" w14:textId="77777777" w:rsidR="00421D1A" w:rsidRDefault="00421D1A" w:rsidP="00421D1A">
      <w:pPr>
        <w:snapToGrid w:val="0"/>
        <w:spacing w:after="0" w:line="240" w:lineRule="auto"/>
        <w:jc w:val="both"/>
        <w:rPr>
          <w:rFonts w:asciiTheme="majorBidi" w:hAnsiTheme="majorBidi" w:cstheme="majorBidi"/>
          <w:b/>
          <w:bCs/>
          <w:color w:val="000000" w:themeColor="text1"/>
          <w:sz w:val="24"/>
          <w:szCs w:val="24"/>
        </w:rPr>
      </w:pPr>
    </w:p>
    <w:p w14:paraId="53FF1B28" w14:textId="77777777" w:rsidR="00421D1A" w:rsidRPr="00264E58" w:rsidRDefault="00421D1A" w:rsidP="009E565D">
      <w:pPr>
        <w:snapToGrid w:val="0"/>
        <w:spacing w:after="0" w:line="240" w:lineRule="auto"/>
        <w:jc w:val="both"/>
        <w:rPr>
          <w:rFonts w:asciiTheme="majorBidi" w:hAnsiTheme="majorBidi" w:cstheme="majorBidi"/>
          <w:color w:val="000000" w:themeColor="text1"/>
          <w:sz w:val="24"/>
          <w:szCs w:val="24"/>
        </w:rPr>
      </w:pPr>
    </w:p>
    <w:sectPr w:rsidR="00421D1A" w:rsidRPr="00264E5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FCA63" w14:textId="77777777" w:rsidR="0023609F" w:rsidRDefault="0023609F" w:rsidP="000A2F8F">
      <w:pPr>
        <w:spacing w:after="0" w:line="240" w:lineRule="auto"/>
      </w:pPr>
      <w:r>
        <w:separator/>
      </w:r>
    </w:p>
  </w:endnote>
  <w:endnote w:type="continuationSeparator" w:id="0">
    <w:p w14:paraId="0CB9E5D8" w14:textId="77777777" w:rsidR="0023609F" w:rsidRDefault="0023609F" w:rsidP="000A2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FBF0C" w14:textId="77777777" w:rsidR="0023609F" w:rsidRDefault="0023609F" w:rsidP="000A2F8F">
      <w:pPr>
        <w:spacing w:after="0" w:line="240" w:lineRule="auto"/>
      </w:pPr>
      <w:r>
        <w:separator/>
      </w:r>
    </w:p>
  </w:footnote>
  <w:footnote w:type="continuationSeparator" w:id="0">
    <w:p w14:paraId="57639D06" w14:textId="77777777" w:rsidR="0023609F" w:rsidRDefault="0023609F" w:rsidP="000A2F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DB06D9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925867"/>
    <w:multiLevelType w:val="hybridMultilevel"/>
    <w:tmpl w:val="6F6C1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7E12A0"/>
    <w:multiLevelType w:val="hybridMultilevel"/>
    <w:tmpl w:val="87B0E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8966148">
    <w:abstractNumId w:val="8"/>
  </w:num>
  <w:num w:numId="2" w16cid:durableId="1589579984">
    <w:abstractNumId w:val="6"/>
  </w:num>
  <w:num w:numId="3" w16cid:durableId="1495148462">
    <w:abstractNumId w:val="5"/>
  </w:num>
  <w:num w:numId="4" w16cid:durableId="1344475713">
    <w:abstractNumId w:val="4"/>
  </w:num>
  <w:num w:numId="5" w16cid:durableId="1994064727">
    <w:abstractNumId w:val="7"/>
  </w:num>
  <w:num w:numId="6" w16cid:durableId="965350581">
    <w:abstractNumId w:val="3"/>
  </w:num>
  <w:num w:numId="7" w16cid:durableId="754205814">
    <w:abstractNumId w:val="2"/>
  </w:num>
  <w:num w:numId="8" w16cid:durableId="1590389469">
    <w:abstractNumId w:val="1"/>
  </w:num>
  <w:num w:numId="9" w16cid:durableId="265160330">
    <w:abstractNumId w:val="0"/>
  </w:num>
  <w:num w:numId="10" w16cid:durableId="1302542992">
    <w:abstractNumId w:val="10"/>
  </w:num>
  <w:num w:numId="11" w16cid:durableId="19385130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769"/>
    <w:rsid w:val="0006063C"/>
    <w:rsid w:val="0009404D"/>
    <w:rsid w:val="000A2F8F"/>
    <w:rsid w:val="000D262B"/>
    <w:rsid w:val="0015074B"/>
    <w:rsid w:val="001E06F7"/>
    <w:rsid w:val="001E4EAC"/>
    <w:rsid w:val="0023609F"/>
    <w:rsid w:val="00264E58"/>
    <w:rsid w:val="0029639D"/>
    <w:rsid w:val="0031457B"/>
    <w:rsid w:val="00326F90"/>
    <w:rsid w:val="00366DFC"/>
    <w:rsid w:val="003831FA"/>
    <w:rsid w:val="003B729D"/>
    <w:rsid w:val="00421D1A"/>
    <w:rsid w:val="00496FA7"/>
    <w:rsid w:val="004B493A"/>
    <w:rsid w:val="005C5D8D"/>
    <w:rsid w:val="006E315F"/>
    <w:rsid w:val="00736A20"/>
    <w:rsid w:val="007C014C"/>
    <w:rsid w:val="008055C5"/>
    <w:rsid w:val="008719EA"/>
    <w:rsid w:val="00890BCD"/>
    <w:rsid w:val="008E0BCA"/>
    <w:rsid w:val="009E565D"/>
    <w:rsid w:val="00AA1D8D"/>
    <w:rsid w:val="00B47730"/>
    <w:rsid w:val="00C778A9"/>
    <w:rsid w:val="00CB0664"/>
    <w:rsid w:val="00FC693F"/>
    <w:rsid w:val="00FD25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691CC6"/>
  <w14:defaultImageDpi w14:val="300"/>
  <w15:docId w15:val="{D8624564-B72F-4E25-A938-D9561976C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231505">
      <w:bodyDiv w:val="1"/>
      <w:marLeft w:val="0"/>
      <w:marRight w:val="0"/>
      <w:marTop w:val="0"/>
      <w:marBottom w:val="0"/>
      <w:divBdr>
        <w:top w:val="none" w:sz="0" w:space="0" w:color="auto"/>
        <w:left w:val="none" w:sz="0" w:space="0" w:color="auto"/>
        <w:bottom w:val="none" w:sz="0" w:space="0" w:color="auto"/>
        <w:right w:val="none" w:sz="0" w:space="0" w:color="auto"/>
      </w:divBdr>
    </w:div>
    <w:div w:id="1462304879">
      <w:bodyDiv w:val="1"/>
      <w:marLeft w:val="0"/>
      <w:marRight w:val="0"/>
      <w:marTop w:val="0"/>
      <w:marBottom w:val="0"/>
      <w:divBdr>
        <w:top w:val="none" w:sz="0" w:space="0" w:color="auto"/>
        <w:left w:val="none" w:sz="0" w:space="0" w:color="auto"/>
        <w:bottom w:val="none" w:sz="0" w:space="0" w:color="auto"/>
        <w:right w:val="none" w:sz="0" w:space="0" w:color="auto"/>
      </w:divBdr>
    </w:div>
    <w:div w:id="1468209024">
      <w:bodyDiv w:val="1"/>
      <w:marLeft w:val="0"/>
      <w:marRight w:val="0"/>
      <w:marTop w:val="0"/>
      <w:marBottom w:val="0"/>
      <w:divBdr>
        <w:top w:val="none" w:sz="0" w:space="0" w:color="auto"/>
        <w:left w:val="none" w:sz="0" w:space="0" w:color="auto"/>
        <w:bottom w:val="none" w:sz="0" w:space="0" w:color="auto"/>
        <w:right w:val="none" w:sz="0" w:space="0" w:color="auto"/>
      </w:divBdr>
    </w:div>
    <w:div w:id="20280167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A379C39721F744481AC5EFF9B1DC798" ma:contentTypeVersion="42" ma:contentTypeDescription="Create a new document." ma:contentTypeScope="" ma:versionID="169fc0d0f0d34c4ee7da1fbadbcf361c">
  <xsd:schema xmlns:xsd="http://www.w3.org/2001/XMLSchema" xmlns:xs="http://www.w3.org/2001/XMLSchema" xmlns:p="http://schemas.microsoft.com/office/2006/metadata/properties" xmlns:ns2="7d053c58-1f97-4d34-bcfa-28b8fa6aacc8" xmlns:ns3="b6f940df-ea07-477d-b617-ab56e5df8817" xmlns:ns4="985ec44e-1bab-4c0b-9df0-6ba128686fc9" targetNamespace="http://schemas.microsoft.com/office/2006/metadata/properties" ma:root="true" ma:fieldsID="4e3c2df075bf52bd7a00090fc6e200dd" ns2:_="" ns3:_="" ns4:_="">
    <xsd:import namespace="7d053c58-1f97-4d34-bcfa-28b8fa6aacc8"/>
    <xsd:import namespace="b6f940df-ea07-477d-b617-ab56e5df8817"/>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aavs"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Theme" minOccurs="0"/>
                <xsd:element ref="ns3:SubmissionDatebyDPB" minOccurs="0"/>
                <xsd:element ref="ns3:Remark" minOccurs="0"/>
                <xsd:element ref="ns3:Category" minOccurs="0"/>
                <xsd:element ref="ns3:Priority" minOccurs="0"/>
                <xsd:element ref="ns3:Remarks" minOccurs="0"/>
                <xsd:element ref="ns3:Areaofwork" minOccurs="0"/>
                <xsd:element ref="ns3:ActivityOwner" minOccurs="0"/>
                <xsd:element ref="ns3:MediaServiceObjectDetectorVersions" minOccurs="0"/>
                <xsd:element ref="ns3:MediaServiceSearchProperties" minOccurs="0"/>
                <xsd:element ref="ns3:WBSE"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053c58-1f97-4d34-bcfa-28b8fa6aac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f940df-ea07-477d-b617-ab56e5df881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aavs" ma:index="18" nillable="true" ma:displayName="Due Date" ma:format="DateOnly" ma:internalName="aavs">
      <xsd:simpleType>
        <xsd:restriction base="dms:DateTim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Theme" ma:index="25" nillable="true" ma:displayName="Status" ma:format="Dropdown" ma:internalName="Theme">
      <xsd:simpleType>
        <xsd:restriction base="dms:Choice">
          <xsd:enumeration value="Pending OD approval"/>
          <xsd:enumeration value="Cleared by OD"/>
          <xsd:enumeration value="Pending Matthias's review"/>
          <xsd:enumeration value="Back for DPB review"/>
          <xsd:enumeration value="On-hold"/>
          <xsd:enumeration value="Pending EOSG's clearance"/>
          <xsd:enumeration value="Information for OD"/>
        </xsd:restriction>
      </xsd:simpleType>
    </xsd:element>
    <xsd:element name="SubmissionDatebyDPB" ma:index="26" nillable="true" ma:displayName="Submission Date by DPB" ma:format="DateTime" ma:internalName="SubmissionDatebyDPB">
      <xsd:simpleType>
        <xsd:restriction base="dms:DateTime"/>
      </xsd:simpleType>
    </xsd:element>
    <xsd:element name="Remark" ma:index="27" nillable="true" ma:displayName="Remark" ma:format="Dropdown" ma:internalName="Remark">
      <xsd:simpleType>
        <xsd:restriction base="dms:Note">
          <xsd:maxLength value="255"/>
        </xsd:restriction>
      </xsd:simpleType>
    </xsd:element>
    <xsd:element name="Category" ma:index="28" nillable="true" ma:displayName="Category" ma:format="Dropdown" ma:internalName="Category">
      <xsd:simpleType>
        <xsd:restriction base="dms:Choice">
          <xsd:enumeration value="Contract/payment"/>
          <xsd:enumeration value="Project document"/>
          <xsd:enumeration value="Mission report"/>
          <xsd:enumeration value="Memo"/>
          <xsd:enumeration value="Report"/>
          <xsd:enumeration value="Briefing note"/>
          <xsd:enumeration value="Email"/>
          <xsd:enumeration value="Background Note"/>
          <xsd:enumeration value="Assessment"/>
          <xsd:enumeration value="Other"/>
          <xsd:enumeration value="Letters"/>
          <xsd:enumeration value="Background Paper"/>
        </xsd:restriction>
      </xsd:simpleType>
    </xsd:element>
    <xsd:element name="Priority" ma:index="29" nillable="true" ma:displayName="Priority" ma:format="Dropdown" ma:internalName="Priority">
      <xsd:simpleType>
        <xsd:restriction base="dms:Choice">
          <xsd:enumeration value="Urgent"/>
          <xsd:enumeration value="Normal"/>
        </xsd:restriction>
      </xsd:simpleType>
    </xsd:element>
    <xsd:element name="Remarks" ma:index="30" nillable="true" ma:displayName="Remarks" ma:format="Dropdown" ma:internalName="Remarks">
      <xsd:simpleType>
        <xsd:restriction base="dms:Note">
          <xsd:maxLength value="255"/>
        </xsd:restriction>
      </xsd:simpleType>
    </xsd:element>
    <xsd:element name="Areaofwork" ma:index="31" nillable="true" ma:displayName="Area of work" ma:format="Dropdown" ma:internalName="Areaofwork">
      <xsd:simpleType>
        <xsd:restriction base="dms:Choice">
          <xsd:enumeration value="Capacity Development"/>
          <xsd:enumeration value="CDP"/>
        </xsd:restriction>
      </xsd:simpleType>
    </xsd:element>
    <xsd:element name="ActivityOwner" ma:index="32" nillable="true" ma:displayName="Activity Owner" ma:format="Dropdown" ma:internalName="ActivityOwner">
      <xsd:simpleType>
        <xsd:restriction base="dms:Choice">
          <xsd:enumeration value="Annette Becker"/>
          <xsd:enumeration value="Azeema Adam"/>
          <xsd:enumeration value="Jiawei Gong"/>
          <xsd:enumeration value="Marcelo LaFleur"/>
          <xsd:enumeration value="Marcia Tavares"/>
          <xsd:enumeration value="Matthias Bruckner"/>
          <xsd:enumeration value="Mereseini Bower"/>
          <xsd:enumeration value="Namsuk Kim"/>
          <xsd:enumeration value="Roland Mollerus"/>
          <xsd:enumeration value="Saw Htoo"/>
          <xsd:enumeration value="Teresa Lenzi"/>
          <xsd:enumeration value="Thomas Alfstad"/>
        </xsd:restriction>
      </xsd:simpleType>
    </xsd:element>
    <xsd:element name="MediaServiceObjectDetectorVersions" ma:index="3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4" nillable="true" ma:displayName="MediaServiceSearchProperties" ma:hidden="true" ma:internalName="MediaServiceSearchProperties" ma:readOnly="true">
      <xsd:simpleType>
        <xsd:restriction base="dms:Note"/>
      </xsd:simpleType>
    </xsd:element>
    <xsd:element name="WBSE" ma:index="35" nillable="true" ma:displayName="Project Identifier" ma:format="Dropdown" ma:internalName="WBSE">
      <xsd:simpleType>
        <xsd:restriction base="dms:Choice">
          <xsd:enumeration value="DA14"/>
        </xsd:restriction>
      </xsd:simpleType>
    </xsd:element>
    <xsd:element name="MediaServiceBillingMetadata" ma:index="3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21b23beb-e481-42ba-95b9-c0a39779260a}" ma:internalName="TaxCatchAll" ma:showField="CatchAllData" ma:web="7d053c58-1f97-4d34-bcfa-28b8fa6aac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marks xmlns="b6f940df-ea07-477d-b617-ab56e5df8817" xsi:nil="true"/>
    <Areaofwork xmlns="b6f940df-ea07-477d-b617-ab56e5df8817" xsi:nil="true"/>
    <lcf76f155ced4ddcb4097134ff3c332f xmlns="b6f940df-ea07-477d-b617-ab56e5df8817">
      <Terms xmlns="http://schemas.microsoft.com/office/infopath/2007/PartnerControls"/>
    </lcf76f155ced4ddcb4097134ff3c332f>
    <Theme xmlns="b6f940df-ea07-477d-b617-ab56e5df8817" xsi:nil="true"/>
    <SubmissionDatebyDPB xmlns="b6f940df-ea07-477d-b617-ab56e5df8817" xsi:nil="true"/>
    <TaxCatchAll xmlns="985ec44e-1bab-4c0b-9df0-6ba128686fc9" xsi:nil="true"/>
    <Priority xmlns="b6f940df-ea07-477d-b617-ab56e5df8817" xsi:nil="true"/>
    <WBSE xmlns="b6f940df-ea07-477d-b617-ab56e5df8817" xsi:nil="true"/>
    <Category xmlns="b6f940df-ea07-477d-b617-ab56e5df8817" xsi:nil="true"/>
    <aavs xmlns="b6f940df-ea07-477d-b617-ab56e5df8817" xsi:nil="true"/>
    <ActivityOwner xmlns="b6f940df-ea07-477d-b617-ab56e5df8817" xsi:nil="true"/>
    <Remark xmlns="b6f940df-ea07-477d-b617-ab56e5df881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E9B781B-6E9A-41DF-8C74-A4B093FB22C0}"/>
</file>

<file path=customXml/itemProps3.xml><?xml version="1.0" encoding="utf-8"?>
<ds:datastoreItem xmlns:ds="http://schemas.openxmlformats.org/officeDocument/2006/customXml" ds:itemID="{A4F89DA1-E421-4BEF-BCC4-76C919D05D34}"/>
</file>

<file path=customXml/itemProps4.xml><?xml version="1.0" encoding="utf-8"?>
<ds:datastoreItem xmlns:ds="http://schemas.openxmlformats.org/officeDocument/2006/customXml" ds:itemID="{8C51F4C4-563F-4A32-8B29-E13B6CAA8BA9}"/>
</file>

<file path=docMetadata/LabelInfo.xml><?xml version="1.0" encoding="utf-8"?>
<clbl:labelList xmlns:clbl="http://schemas.microsoft.com/office/2020/mipLabelMetadata">
  <clbl:label id="{8b77875e-5908-45a0-9cb4-dec9ae074618}"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61</TotalTime>
  <Pages>4</Pages>
  <Words>947</Words>
  <Characters>5402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Vergara</cp:lastModifiedBy>
  <cp:revision>7</cp:revision>
  <dcterms:created xsi:type="dcterms:W3CDTF">2025-10-10T19:50:00Z</dcterms:created>
  <dcterms:modified xsi:type="dcterms:W3CDTF">2025-10-16T21:07:00Z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0x010100CA379C39721F744481AC5EFF9B1DC798</vt:lpwstr>
  </property>
</Properties>
</file>