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jc w:val="both"/>
        <w:rPr>
          <w:rFonts w:ascii="Public Sans" w:cs="Public Sans" w:eastAsia="Public Sans" w:hAnsi="Public Sans"/>
          <w:b w:val="1"/>
          <w:shd w:fill="b6d7a8" w:val="clear"/>
        </w:rPr>
      </w:pPr>
      <w:r w:rsidDel="00000000" w:rsidR="00000000" w:rsidRPr="00000000">
        <w:rPr>
          <w:rFonts w:ascii="Public Sans" w:cs="Public Sans" w:eastAsia="Public Sans" w:hAnsi="Public Sans"/>
          <w:b w:val="1"/>
          <w:shd w:fill="b6d7a8" w:val="clear"/>
          <w:rtl w:val="0"/>
        </w:rPr>
        <w:t xml:space="preserve">Gruppe 11 - GEAS</w:t>
      </w:r>
    </w:p>
    <w:p w:rsidR="00000000" w:rsidDel="00000000" w:rsidP="00000000" w:rsidRDefault="00000000" w:rsidRPr="00000000" w14:paraId="00000002">
      <w:pPr>
        <w:spacing w:after="240" w:lineRule="auto"/>
        <w:jc w:val="both"/>
        <w:rPr>
          <w:rFonts w:ascii="Public Sans" w:cs="Public Sans" w:eastAsia="Public Sans" w:hAnsi="Public Sans"/>
          <w:b w:val="1"/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ublic Sans" w:cs="Public Sans" w:eastAsia="Public Sans" w:hAnsi="Public Sans"/>
        </w:rPr>
      </w:pPr>
      <w:r w:rsidDel="00000000" w:rsidR="00000000" w:rsidRPr="00000000">
        <w:rPr>
          <w:rFonts w:ascii="Public Sans" w:cs="Public Sans" w:eastAsia="Public Sans" w:hAnsi="Public Sans"/>
          <w:rtl w:val="0"/>
        </w:rPr>
        <w:t xml:space="preserve">Ordnet die nachfolgenden migrationspolitischen Themen rechtlich ein und bezieht Stellung. </w:t>
      </w:r>
    </w:p>
    <w:p w:rsidR="00000000" w:rsidDel="00000000" w:rsidP="00000000" w:rsidRDefault="00000000" w:rsidRPr="00000000" w14:paraId="00000004">
      <w:pPr>
        <w:rPr>
          <w:rFonts w:ascii="Public Sans" w:cs="Public Sans" w:eastAsia="Public Sans" w:hAnsi="Public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Public Sans" w:cs="Public Sans" w:eastAsia="Public Sans" w:hAnsi="Public Sans"/>
        </w:rPr>
      </w:pPr>
      <w:r w:rsidDel="00000000" w:rsidR="00000000" w:rsidRPr="00000000">
        <w:rPr>
          <w:rFonts w:ascii="Public Sans" w:cs="Public Sans" w:eastAsia="Public Sans" w:hAnsi="Public Sans"/>
          <w:u w:val="single"/>
          <w:rtl w:val="0"/>
        </w:rPr>
        <w:t xml:space="preserve">Allgemeines</w:t>
      </w:r>
      <w:r w:rsidDel="00000000" w:rsidR="00000000" w:rsidRPr="00000000">
        <w:rPr>
          <w:rFonts w:ascii="Public Sans" w:cs="Public Sans" w:eastAsia="Public Sans" w:hAnsi="Public Sans"/>
          <w:rtl w:val="0"/>
        </w:rPr>
        <w:t xml:space="preserve">: Was ist GEAS? Wie kam es zustande und wann tritt das neue System in Kraft? Was sind die wichtigsten Änderungen?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Public Sans" w:cs="Public Sans" w:eastAsia="Public Sans" w:hAnsi="Public Sans"/>
        </w:rPr>
      </w:pPr>
      <w:r w:rsidDel="00000000" w:rsidR="00000000" w:rsidRPr="00000000">
        <w:rPr>
          <w:rFonts w:ascii="Public Sans" w:cs="Public Sans" w:eastAsia="Public Sans" w:hAnsi="Public Sans"/>
          <w:u w:val="single"/>
          <w:rtl w:val="0"/>
        </w:rPr>
        <w:t xml:space="preserve">Externalisierung</w:t>
      </w:r>
      <w:r w:rsidDel="00000000" w:rsidR="00000000" w:rsidRPr="00000000">
        <w:rPr>
          <w:rFonts w:ascii="Public Sans" w:cs="Public Sans" w:eastAsia="Public Sans" w:hAnsi="Public Sans"/>
          <w:rtl w:val="0"/>
        </w:rPr>
        <w:t xml:space="preserve">: Erklärt das Konzept der Externalisierung und ordnet es rechtlich ein. Geht dabei auf das </w:t>
      </w:r>
      <w:r w:rsidDel="00000000" w:rsidR="00000000" w:rsidRPr="00000000">
        <w:rPr>
          <w:rFonts w:ascii="Public Sans" w:cs="Public Sans" w:eastAsia="Public Sans" w:hAnsi="Public Sans"/>
          <w:i w:val="1"/>
          <w:rtl w:val="0"/>
        </w:rPr>
        <w:t xml:space="preserve">Verbindungselement </w:t>
      </w:r>
      <w:r w:rsidDel="00000000" w:rsidR="00000000" w:rsidRPr="00000000">
        <w:rPr>
          <w:rFonts w:ascii="Public Sans" w:cs="Public Sans" w:eastAsia="Public Sans" w:hAnsi="Public Sans"/>
          <w:rtl w:val="0"/>
        </w:rPr>
        <w:t xml:space="preserve">ein. Wie unterscheidet sich der GEAS Ansatz vom Ruanda- bzw. Albanien-Modell?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Public Sans" w:cs="Public Sans" w:eastAsia="Public Sans" w:hAnsi="Public Sans"/>
        </w:rPr>
      </w:pPr>
      <w:r w:rsidDel="00000000" w:rsidR="00000000" w:rsidRPr="00000000">
        <w:rPr>
          <w:rFonts w:ascii="Public Sans" w:cs="Public Sans" w:eastAsia="Public Sans" w:hAnsi="Public Sans"/>
          <w:u w:val="single"/>
          <w:rtl w:val="0"/>
        </w:rPr>
        <w:t xml:space="preserve">Grenzverfahren</w:t>
      </w:r>
      <w:r w:rsidDel="00000000" w:rsidR="00000000" w:rsidRPr="00000000">
        <w:rPr>
          <w:rFonts w:ascii="Public Sans" w:cs="Public Sans" w:eastAsia="Public Sans" w:hAnsi="Public Sans"/>
          <w:rtl w:val="0"/>
        </w:rPr>
        <w:t xml:space="preserve">: Wie ist das neue Grenzverfahren rechtlich und tatsächlich im neuen GEAS geregelt? Welche früheren Ansätze gab es? Welche Rolle spielt die Screening-VO? 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ublic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8">
    <w:pPr>
      <w:widowControl w:val="0"/>
      <w:spacing w:line="240" w:lineRule="auto"/>
      <w:rPr>
        <w:rFonts w:ascii="Public Sans" w:cs="Public Sans" w:eastAsia="Public Sans" w:hAnsi="Public Sans"/>
        <w:sz w:val="16"/>
        <w:szCs w:val="16"/>
      </w:rPr>
    </w:pPr>
    <w:r w:rsidDel="00000000" w:rsidR="00000000" w:rsidRPr="00000000">
      <w:rPr>
        <w:rFonts w:ascii="Public Sans" w:cs="Public Sans" w:eastAsia="Public Sans" w:hAnsi="Public Sans"/>
        <w:i w:val="1"/>
        <w:sz w:val="16"/>
        <w:szCs w:val="16"/>
        <w:rtl w:val="0"/>
      </w:rPr>
      <w:t xml:space="preserve">Praxisprojekt Migrationsrecht</w:t>
    </w:r>
    <w:r w:rsidDel="00000000" w:rsidR="00000000" w:rsidRPr="00000000">
      <w:rPr>
        <w:rFonts w:ascii="Public Sans" w:cs="Public Sans" w:eastAsia="Public Sans" w:hAnsi="Public Sans"/>
        <w:sz w:val="16"/>
        <w:szCs w:val="16"/>
        <w:rtl w:val="0"/>
      </w:rPr>
      <w:t xml:space="preserve">, Sommersemester 2025 -</w:t>
    </w:r>
    <w:r w:rsidDel="00000000" w:rsidR="00000000" w:rsidRPr="00000000">
      <w:drawing>
        <wp:anchor allowOverlap="1" behindDoc="1" distB="19050" distT="19050" distL="19050" distR="19050" hidden="0" layoutInCell="1" locked="0" relativeHeight="0" simplePos="0">
          <wp:simplePos x="0" y="0"/>
          <wp:positionH relativeFrom="column">
            <wp:posOffset>3905250</wp:posOffset>
          </wp:positionH>
          <wp:positionV relativeFrom="paragraph">
            <wp:posOffset>1</wp:posOffset>
          </wp:positionV>
          <wp:extent cx="2196774" cy="32940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96774" cy="3294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9">
    <w:pPr>
      <w:widowControl w:val="0"/>
      <w:spacing w:line="240" w:lineRule="auto"/>
      <w:rPr/>
    </w:pPr>
    <w:r w:rsidDel="00000000" w:rsidR="00000000" w:rsidRPr="00000000">
      <w:rPr>
        <w:rFonts w:ascii="Public Sans" w:cs="Public Sans" w:eastAsia="Public Sans" w:hAnsi="Public Sans"/>
        <w:sz w:val="16"/>
        <w:szCs w:val="16"/>
        <w:rtl w:val="0"/>
      </w:rPr>
      <w:t xml:space="preserve">Niklas Cuno, Min-Ju Seo, Lukas Bornschein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ublicSans-regular.ttf"/><Relationship Id="rId2" Type="http://schemas.openxmlformats.org/officeDocument/2006/relationships/font" Target="fonts/PublicSans-bold.ttf"/><Relationship Id="rId3" Type="http://schemas.openxmlformats.org/officeDocument/2006/relationships/font" Target="fonts/PublicSans-italic.ttf"/><Relationship Id="rId4" Type="http://schemas.openxmlformats.org/officeDocument/2006/relationships/font" Target="fonts/Public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