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E0D0B"/>
          <w:spacing w:val="120"/>
          <w:sz w:val="96"/>
          <w:szCs w:val="96"/>
        </w:rPr>
        <w:t xml:space="preserve">IKÔN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B8935A"/>
          <w:sz w:val="24"/>
          <w:szCs w:val="24"/>
        </w:rPr>
        <w:t xml:space="preserve">Portrait · Entretien · Podcast · Fine Art</w:t>
      </w:r>
    </w:p>
    <w:p>
      <w:pPr>
        <w:spacing w:after="80" w:before="0"/>
      </w:pPr>
      <w:r>
        <w:rPr>
          <w:rFonts w:ascii="Arial" w:cs="Arial" w:eastAsia="Arial" w:hAnsi="Arial"/>
          <w:color w:val="8A8880"/>
          <w:sz w:val="20"/>
          <w:szCs w:val="20"/>
        </w:rPr>
        <w:t xml:space="preserve">Brief de lancement — Document de travail à destination de l'agence d'accompagnement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A8880"/>
          <w:sz w:val="18"/>
          <w:szCs w:val="18"/>
        </w:rPr>
        <w:t xml:space="preserve">Avril 2026 · Confidentiel</w:t>
      </w:r>
    </w:p>
    <w:p>
      <w:pPr>
        <w:spacing w:after="0" w:before="200"/>
      </w:pPr>
      <w:r>
        <w:t xml:space="preserve"/>
      </w:r>
    </w:p>
    <w:p>
      <w:pPr>
        <w:pBdr>
          <w:bottom w:val="single" w:color="B8935A" w:sz="8" w:space="4"/>
        </w:pBdr>
        <w:spacing w:after="40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1 — LE PROJET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Ce qu'est IKÔN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IKÔN est un studio de portrait premium — photo, entretien enregistré, podcast, exposition fine art. Créé par un auteur-réalisateur avec 25 ans de pratique documentaire et des références diffuseur national (France 2, FIA, CNC, DRAC Bretagne).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IKÔN n'est pas une agence de communication. Pas un studio photo. C'est un regard éditorial appliqué à la communication d'entreprise — avec un positionnement premium assumé et des prix affichés.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2 — LE PROBLÈME CLIENT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Pourquoi les entreprises ont besoin d'IKÔN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contenu qui performe aujourd'hui n'est pas le produit — c'est la personne derrière le produit. Les dirigeants et équipes sont le meilleur vecteur de communication d'une entreprise. Pourtant 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banques d'images ne convertissent pas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vidéos corporate génériques ne génèrent pas d'engagement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équipes com manquent de contenu authentique différenciant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marque employeur souffre du manque de visibilité humaine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IKÔN produit ce contenu-là — avec un niveau de qualité inaccessible en interne, livré clé en main.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3 — LES OFFRES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Structure commerciale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Cinq offres claires, tarifées, sans ambiguïté. La vidéo cheapne fait pas partie du catalogue — la production film existe sur devis uniquement, à hauteur de la qualité diffuseur national.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360"/>
        <w:gridCol w:w="1800"/>
      </w:tblGrid>
      <w:tr>
        <w:tc>
          <w:tcPr>
            <w:tcW w:type="dxa" w:w="22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33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  <w:tc>
          <w:tcPr>
            <w:tcW w:type="dxa" w:w="1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2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Portrait Fondateur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1 900 € HT</w:t>
            </w:r>
          </w:p>
        </w:tc>
        <w:tc>
          <w:tcPr>
            <w:tcW w:type="dxa" w:w="33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 photos HD · Film 2 min LinkedIn + site · Livraison 10j</w:t>
            </w:r>
          </w:p>
        </w:tc>
        <w:tc>
          <w:tcPr>
            <w:tcW w:type="dxa" w:w="1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8880"/>
                <w:sz w:val="18"/>
                <w:szCs w:val="18"/>
              </w:rPr>
              <w:t xml:space="preserve">DG, Directeur com</w:t>
            </w:r>
          </w:p>
        </w:tc>
      </w:tr>
      <w:tr>
        <w:tc>
          <w:tcPr>
            <w:tcW w:type="dxa" w:w="22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L'Entretien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3 500 € HT</w:t>
            </w:r>
          </w:p>
        </w:tc>
        <w:tc>
          <w:tcPr>
            <w:tcW w:type="dxa" w:w="33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Conversation enregistrée · Épisode podcast monté · Série photos</w:t>
            </w:r>
          </w:p>
        </w:tc>
        <w:tc>
          <w:tcPr>
            <w:tcW w:type="dxa" w:w="1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8880"/>
                <w:sz w:val="18"/>
                <w:szCs w:val="18"/>
              </w:rPr>
              <w:t xml:space="preserve">DG, DRH, fondateurs</w:t>
            </w:r>
          </w:p>
        </w:tc>
      </w:tr>
      <w:tr>
        <w:tc>
          <w:tcPr>
            <w:tcW w:type="dxa" w:w="22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L'Équipe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À partir de 6 500 € HT</w:t>
            </w:r>
          </w:p>
        </w:tc>
        <w:tc>
          <w:tcPr>
            <w:tcW w:type="dxa" w:w="33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10–20 portraits · Film collectif 3–4 min · Droits digitaux illimités</w:t>
            </w:r>
          </w:p>
        </w:tc>
        <w:tc>
          <w:tcPr>
            <w:tcW w:type="dxa" w:w="1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8880"/>
                <w:sz w:val="18"/>
                <w:szCs w:val="18"/>
              </w:rPr>
              <w:t xml:space="preserve">DRH, marque employeur</w:t>
            </w:r>
          </w:p>
        </w:tc>
      </w:tr>
      <w:tr>
        <w:tc>
          <w:tcPr>
            <w:tcW w:type="dxa" w:w="22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La Série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À partir de 15 000 € HT</w:t>
            </w:r>
          </w:p>
        </w:tc>
        <w:tc>
          <w:tcPr>
            <w:tcW w:type="dxa" w:w="33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Expo fine art grand format · Tirages d'art signés · Contenus digitaux</w:t>
            </w:r>
          </w:p>
        </w:tc>
        <w:tc>
          <w:tcPr>
            <w:tcW w:type="dxa" w:w="1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8880"/>
                <w:sz w:val="18"/>
                <w:szCs w:val="18"/>
              </w:rPr>
              <w:t xml:space="preserve">DG, budget prestige</w:t>
            </w:r>
          </w:p>
        </w:tc>
      </w:tr>
      <w:tr>
        <w:tc>
          <w:tcPr>
            <w:tcW w:type="dxa" w:w="22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Film (sur devis)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Sur devis uniquement</w:t>
            </w:r>
          </w:p>
        </w:tc>
        <w:tc>
          <w:tcPr>
            <w:tcW w:type="dxa" w:w="33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Production complète qualité diffuseur national. En dessous d'un certain seuil : refus.</w:t>
            </w:r>
          </w:p>
        </w:tc>
        <w:tc>
          <w:tcPr>
            <w:tcW w:type="dxa" w:w="1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8880"/>
                <w:sz w:val="18"/>
                <w:szCs w:val="18"/>
              </w:rPr>
              <w:t xml:space="preserve">Clients premium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A8880"/>
          <w:sz w:val="22"/>
          <w:szCs w:val="22"/>
        </w:rPr>
        <w:t xml:space="preserve">Ticket moyen cible : 8 500 € HT · Objectif an 1 : 15 clients = 127 500 € CA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4 — LA CIBLE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Persona prioritaire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PME régionale de 20 à 200 salariés, Bretagne + axe Paris. Secteurs : industrie, artisanat haut de gamme, santé, cabinet conseil, collectivités, hôtellerie-restauration gastronomique.</w:t>
      </w:r>
    </w:p>
    <w:p>
      <w:pPr>
        <w:spacing w:after="0" w:before="80"/>
      </w:pPr>
      <w: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6"/>
      </w:tblGrid>
      <w:tr>
        <w:tc>
          <w:tcPr>
            <w:tcW w:type="dxa" w:w="23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Interlocuteur</w:t>
            </w:r>
          </w:p>
        </w:tc>
        <w:tc>
          <w:tcPr>
            <w:tcW w:type="dxa" w:w="69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DG, DRH, Directeur communication</w:t>
            </w:r>
          </w:p>
        </w:tc>
      </w:tr>
      <w:tr>
        <w:tc>
          <w:tcPr>
            <w:tcW w:type="dxa" w:w="23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Budget com disponible</w:t>
            </w:r>
          </w:p>
        </w:tc>
        <w:tc>
          <w:tcPr>
            <w:tcW w:type="dxa" w:w="69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5 000 à 30 000 € / an</w:t>
            </w:r>
          </w:p>
        </w:tc>
      </w:tr>
      <w:tr>
        <w:tc>
          <w:tcPr>
            <w:tcW w:type="dxa" w:w="23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Douleur principale</w:t>
            </w:r>
          </w:p>
        </w:tc>
        <w:tc>
          <w:tcPr>
            <w:tcW w:type="dxa" w:w="69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Marque employeur, recrutement, différenciation</w:t>
            </w:r>
          </w:p>
        </w:tc>
      </w:tr>
      <w:tr>
        <w:tc>
          <w:tcPr>
            <w:tcW w:type="dxa" w:w="23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Zone géographique</w:t>
            </w:r>
          </w:p>
        </w:tc>
        <w:tc>
          <w:tcPr>
            <w:tcW w:type="dxa" w:w="69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Finistère · Bretagne · Paris</w:t>
            </w:r>
          </w:p>
        </w:tc>
      </w:tr>
      <w:tr>
        <w:tc>
          <w:tcPr>
            <w:tcW w:type="dxa" w:w="23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Exemples identifiés</w:t>
            </w:r>
          </w:p>
        </w:tc>
        <w:tc>
          <w:tcPr>
            <w:tcW w:type="dxa" w:w="69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Sermeta, Hôtel de Carantec, Hôtel Brittany Roscoff, FondationILDYS, Mowi Bretagne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5 — STRATÉGIE DE LANCEMENT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Plan d'action 90 jours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Trois canaux uniquement. Pas de budget pub au démarrage. Pas de site sophistiqué. La priorité absolue : le nombre de rendez-vous prospects par semaine.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LINKEDIN — Le moteur principal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publications par semaine : résultat client (lundi) · prise de position (mercredi) · coulisses (vendredi)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messages personnalisés envoyés avant le premier post — taux de réponse visé : 2 à 3 sur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 refondu : titre orienté résultat, pas métier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TERRAIN LOCAL — L'avantage concurrentiel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premiers clients en tarif découverte (50 % prix normal) contre témoignage écrit + droits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Interventions dans les réseaux dirigeants : CCI Finistère, réseau Entreprendre Bretagne, clubs locaux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Partenaires apporteurs d'affaires : cabinets RH, experts-comptables, consultants — commission 10 %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PRESSE RÉGIONALE — Une action, bien ciblée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Angle : label Grande Cause Nationale 2025 + financement DRAC — matière éditoriale forte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Cibles : Le Télégramme, Ouest-France pages éco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Résultat attendu : crédibilité instantanée auprès de 10 décideurs en une parution</w:t>
      </w:r>
    </w:p>
    <w:p>
      <w:pPr>
        <w:spacing w:after="0" w:before="120"/>
      </w:pPr>
      <w: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606"/>
      </w:tblGrid>
      <w:tr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 1 — Amorcer</w:t>
            </w:r>
          </w:p>
        </w:tc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 2 — Prouver</w:t>
            </w:r>
          </w:p>
        </w:tc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 3 — Accélérer</w:t>
            </w:r>
          </w:p>
        </w:tc>
        <w:tc>
          <w:tcPr>
            <w:tcW w:type="dxa" w:w="26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B8935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clé</w:t>
            </w:r>
          </w:p>
        </w:tc>
      </w:tr>
      <w:tr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Profil LinkedIn · 10 messages · 1er client signé</w:t>
            </w:r>
          </w:p>
        </w:tc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Cas client documenté · Intervention réseau · Apporteurs</w:t>
            </w:r>
          </w:p>
        </w:tc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5F2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Article presse · 2 clients signés · Inbounds LinkedIn</w:t>
            </w:r>
          </w:p>
        </w:tc>
        <w:tc>
          <w:tcPr>
            <w:tcW w:type="dxa" w:w="24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Rendez-vous prospects / semaine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6 — IDENTITÉ DE MARQUE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Direction créative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Nom : IKÔN — Le Ô comme signature visuelle. Concept logo : l'accent circonflexe devient le sourcil, le O devient un œil. Couleurs : noir profond (#0E0D0B) · ocre chaud (#B8935A) · blanc cassé (#F5F2EC).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 one-page sobre et premium — 3 offres affichées avec prix visibles, pas de formulaire opaque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Typographie : Cormorant Garamond (titres) + DM Sans (corps)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typographique avec icône œil — à faire finaliser par un graphiste (direction validée)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Aucune pub payante au lancement — le contenu et le terrain suffisent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7 — RÉFÉRENCES &amp; CRÉDIBILITÉ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Ce qui justifie le positionnement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France 2 — 13H15 le Samedi, 20H30 le Dimanche · coordination production 2012–2024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FIA — documentaire 100 ans de course automobile, 52 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CNC Talent · DRAC Bretagne · Région Bretagne — financement institutionnel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Court-métrage J'arrive — 40 sélections festival, 20 prix dont Clermont-Ferrand et Los Angeles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 Grande Cause Nationale 2025 — Ministère de la Santé mentale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TV5 Monde · Rai Cinéma · France 3 — diffusion internationale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935A"/>
          <w:spacing w:val="80"/>
          <w:sz w:val="16"/>
          <w:szCs w:val="16"/>
        </w:rPr>
        <w:t xml:space="preserve">8 — CE QU'ON ATTEND DE VOUS</w:t>
      </w:r>
    </w:p>
    <w:p>
      <w:pPr>
        <w:pBdr>
          <w:bottom w:val="single" w:color="B8935A" w:sz="4" w:space="8"/>
        </w:pBdr>
        <w:spacing w:after="160" w:before="0"/>
      </w:pPr>
      <w:r>
        <w:rPr>
          <w:rFonts w:ascii="Arial" w:cs="Arial" w:eastAsia="Arial" w:hAnsi="Arial"/>
          <w:b/>
          <w:bCs/>
          <w:color w:val="0E0D0B"/>
          <w:sz w:val="36"/>
          <w:szCs w:val="36"/>
        </w:rPr>
        <w:t xml:space="preserve">Mission de l'agence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IKÔN a la production, le regard, les références et la stratégie. Ce qui manque : l'exécution marketing systématique et la mise en marché structurée.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Mise en place et animation de la stratégie LinkedIn (contenu, growth, DMs)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Construction du funnel commercial : de la visibilité au rendez-vous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Aide à la production des cas clients et témoignages exploitables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Coordination avec la presse régionale et les réseaux locaux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Tableau de bord mensuel : rendez-vous générés · CA signé · pipeline</w:t>
      </w:r>
    </w:p>
    <w:p>
      <w:pPr>
        <w:spacing w:after="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0D0B"/>
          <w:sz w:val="22"/>
          <w:szCs w:val="22"/>
        </w:rPr>
        <w:t xml:space="preserve">KPI de succès à 6 mois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6"/>
      </w:tblGrid>
      <w:tr>
        <w:tc>
          <w:tcPr>
            <w:tcW w:type="dxa" w:w="2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4406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0E0D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RDV prospects / semaine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B89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à 3</w:t>
            </w:r>
          </w:p>
        </w:tc>
        <w:tc>
          <w:tcPr>
            <w:tcW w:type="dxa" w:w="45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880"/>
                <w:sz w:val="18"/>
                <w:szCs w:val="18"/>
              </w:rPr>
              <w:t xml:space="preserve">Le seul KPI qui compte au démarrage</w:t>
            </w:r>
          </w:p>
        </w:tc>
      </w:tr>
      <w:tr>
        <w:tc>
          <w:tcPr>
            <w:tcW w:type="dxa" w:w="2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Clients signés à M+3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B89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minimum</w:t>
            </w:r>
          </w:p>
        </w:tc>
        <w:tc>
          <w:tcPr>
            <w:tcW w:type="dxa" w:w="45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880"/>
                <w:sz w:val="18"/>
                <w:szCs w:val="18"/>
              </w:rPr>
              <w:t xml:space="preserve">Dont 1 La Série ou L'Équipe</w:t>
            </w:r>
          </w:p>
        </w:tc>
      </w:tr>
      <w:tr>
        <w:tc>
          <w:tcPr>
            <w:tcW w:type="dxa" w:w="2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CA à M+6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B89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60 000 € HT</w:t>
            </w:r>
          </w:p>
        </w:tc>
        <w:tc>
          <w:tcPr>
            <w:tcW w:type="dxa" w:w="45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880"/>
                <w:sz w:val="18"/>
                <w:szCs w:val="18"/>
              </w:rPr>
              <w:t xml:space="preserve">50 % de l'objectif annuel</w:t>
            </w:r>
          </w:p>
        </w:tc>
      </w:tr>
      <w:tr>
        <w:tc>
          <w:tcPr>
            <w:tcW w:type="dxa" w:w="2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Abonnés LinkedIn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B89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+500</w:t>
            </w:r>
          </w:p>
        </w:tc>
        <w:tc>
          <w:tcPr>
            <w:tcW w:type="dxa" w:w="45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880"/>
                <w:sz w:val="18"/>
                <w:szCs w:val="18"/>
              </w:rPr>
              <w:t xml:space="preserve">Audience qualifiée décideurs</w:t>
            </w:r>
          </w:p>
        </w:tc>
      </w:tr>
      <w:tr>
        <w:tc>
          <w:tcPr>
            <w:tcW w:type="dxa" w:w="28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0D0B"/>
                <w:sz w:val="20"/>
                <w:szCs w:val="20"/>
              </w:rPr>
              <w:t xml:space="preserve">Partenaires apporteurs</w:t>
            </w:r>
          </w:p>
        </w:tc>
        <w:tc>
          <w:tcPr>
            <w:tcW w:type="dxa" w:w="200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shd w:fill="B89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actifs</w:t>
            </w:r>
          </w:p>
        </w:tc>
        <w:tc>
          <w:tcPr>
            <w:tcW w:type="dxa" w:w="4560"/>
            <w:tcBorders>
              <w:top w:val="single" w:color="D4D1CC" w:sz="1"/>
              <w:left w:val="single" w:color="D4D1CC" w:sz="1"/>
              <w:bottom w:val="single" w:color="D4D1CC" w:sz="1"/>
              <w:right w:val="single" w:color="D4D1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880"/>
                <w:sz w:val="18"/>
                <w:szCs w:val="18"/>
              </w:rPr>
              <w:t xml:space="preserve">RH, compta, conseil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B8935A" w:sz="4" w:space="8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8A8880"/>
          <w:sz w:val="22"/>
          <w:szCs w:val="22"/>
        </w:rPr>
        <w:t xml:space="preserve">IKÔN — Le regard qui fait la différence.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5DF" w:sz="4" w:space="8"/>
      </w:pBdr>
      <w:spacing w:before="0"/>
    </w:pPr>
    <w:r>
      <w:rPr>
        <w:rFonts w:ascii="Arial" w:cs="Arial" w:eastAsia="Arial" w:hAnsi="Arial"/>
        <w:color w:val="8A8880"/>
        <w:sz w:val="16"/>
        <w:szCs w:val="16"/>
      </w:rPr>
      <w:t xml:space="preserve">Confidentiel · IKÔN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5DF" w:sz="4" w:space="8"/>
      </w:pBdr>
      <w:spacing w:after="0"/>
    </w:pPr>
    <w:r>
      <w:rPr>
        <w:rFonts w:ascii="Arial" w:cs="Arial" w:eastAsia="Arial" w:hAnsi="Arial"/>
        <w:b/>
        <w:bCs/>
        <w:color w:val="B8935A"/>
        <w:spacing w:val="80"/>
        <w:sz w:val="18"/>
        <w:szCs w:val="18"/>
      </w:rPr>
      <w:t xml:space="preserve">IKÔN</w:t>
    </w:r>
    <w:r>
      <w:rPr>
        <w:rFonts w:ascii="Arial" w:cs="Arial" w:eastAsia="Arial" w:hAnsi="Arial"/>
        <w:color w:val="8A8880"/>
        <w:sz w:val="16"/>
        <w:szCs w:val="16"/>
      </w:rPr>
      <w:t xml:space="preserve">   —   Brief agence ·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60"/>
      </w:pPr>
      <w:rPr>
        <w:color w:val="B893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2026-04-30T20:15:18.775Z</dcterms:created>
  <dcterms:modified xsi:type="dcterms:W3CDTF">2026-04-30T20:15:18.776Z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