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8509" w14:textId="58BD3EFF" w:rsidR="00313566" w:rsidRDefault="00855008" w:rsidP="00855008">
      <w:pPr>
        <w:pStyle w:val="BodyText"/>
        <w:ind w:left="0"/>
        <w:jc w:val="center"/>
        <w:rPr>
          <w:rFonts w:ascii="Arial" w:hAnsi="Arial" w:cs="Arial"/>
          <w:b/>
          <w:sz w:val="44"/>
          <w:szCs w:val="44"/>
        </w:rPr>
      </w:pPr>
      <w:r w:rsidRPr="00855008">
        <w:rPr>
          <w:rFonts w:ascii="Arial" w:hAnsi="Arial" w:cs="Arial"/>
          <w:b/>
          <w:sz w:val="44"/>
          <w:szCs w:val="44"/>
        </w:rPr>
        <w:t>BT305 Lab6 Assignment</w:t>
      </w:r>
    </w:p>
    <w:p w14:paraId="643D9A6E" w14:textId="020477C9" w:rsidR="00855008" w:rsidRDefault="00855008" w:rsidP="00855008">
      <w:pPr>
        <w:pStyle w:val="BodyText"/>
        <w:ind w:left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Name: Sumit Kumar</w:t>
      </w:r>
    </w:p>
    <w:p w14:paraId="01671999" w14:textId="42089B3A" w:rsidR="00855008" w:rsidRDefault="00855008" w:rsidP="00855008">
      <w:pPr>
        <w:pStyle w:val="BodyText"/>
        <w:ind w:left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Roll No. 210106076</w:t>
      </w:r>
    </w:p>
    <w:p w14:paraId="7E533E6E" w14:textId="77777777" w:rsidR="00855008" w:rsidRPr="00855008" w:rsidRDefault="00855008" w:rsidP="00855008">
      <w:pPr>
        <w:pStyle w:val="BodyText"/>
        <w:ind w:left="0"/>
        <w:jc w:val="center"/>
        <w:rPr>
          <w:rFonts w:ascii="Arial" w:hAnsi="Arial" w:cs="Arial"/>
          <w:b/>
          <w:sz w:val="44"/>
          <w:szCs w:val="44"/>
        </w:rPr>
      </w:pPr>
    </w:p>
    <w:p w14:paraId="1B5F0DCD" w14:textId="48CB732F" w:rsidR="00922962" w:rsidRPr="00922962" w:rsidRDefault="00000000">
      <w:pPr>
        <w:pStyle w:val="ListParagraph"/>
        <w:numPr>
          <w:ilvl w:val="0"/>
          <w:numId w:val="1"/>
        </w:numPr>
        <w:tabs>
          <w:tab w:val="left" w:pos="510"/>
        </w:tabs>
        <w:ind w:right="3687" w:hanging="710"/>
        <w:rPr>
          <w:rFonts w:ascii="Arial" w:hAnsi="Arial" w:cs="Arial"/>
          <w:b/>
          <w:bCs/>
          <w:sz w:val="30"/>
        </w:rPr>
      </w:pPr>
      <w:r w:rsidRPr="00922962">
        <w:rPr>
          <w:rFonts w:ascii="Arial" w:hAnsi="Arial" w:cs="Arial"/>
          <w:b/>
          <w:bCs/>
          <w:sz w:val="30"/>
        </w:rPr>
        <w:t>Total</w:t>
      </w:r>
      <w:r w:rsidRPr="00922962">
        <w:rPr>
          <w:rFonts w:ascii="Arial" w:hAnsi="Arial" w:cs="Arial"/>
          <w:b/>
          <w:bCs/>
          <w:spacing w:val="-8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relative</w:t>
      </w:r>
      <w:r w:rsidRPr="00922962">
        <w:rPr>
          <w:rFonts w:ascii="Arial" w:hAnsi="Arial" w:cs="Arial"/>
          <w:b/>
          <w:bCs/>
          <w:spacing w:val="-6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solvent</w:t>
      </w:r>
      <w:r w:rsidRPr="00922962">
        <w:rPr>
          <w:rFonts w:ascii="Arial" w:hAnsi="Arial" w:cs="Arial"/>
          <w:b/>
          <w:bCs/>
          <w:spacing w:val="-8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accessible</w:t>
      </w:r>
      <w:r w:rsidRPr="00922962">
        <w:rPr>
          <w:rFonts w:ascii="Arial" w:hAnsi="Arial" w:cs="Arial"/>
          <w:b/>
          <w:bCs/>
          <w:spacing w:val="-6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surface</w:t>
      </w:r>
      <w:r w:rsidRPr="00922962">
        <w:rPr>
          <w:rFonts w:ascii="Arial" w:hAnsi="Arial" w:cs="Arial"/>
          <w:b/>
          <w:bCs/>
          <w:spacing w:val="-8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area</w:t>
      </w:r>
      <w:r w:rsidRPr="00922962">
        <w:rPr>
          <w:rFonts w:ascii="Arial" w:hAnsi="Arial" w:cs="Arial"/>
          <w:b/>
          <w:bCs/>
          <w:spacing w:val="-8"/>
          <w:sz w:val="30"/>
        </w:rPr>
        <w:t xml:space="preserve"> </w:t>
      </w:r>
    </w:p>
    <w:p w14:paraId="1BD07546" w14:textId="689E48E3" w:rsidR="00313566" w:rsidRPr="00855008" w:rsidRDefault="00000000" w:rsidP="00922962">
      <w:pPr>
        <w:pStyle w:val="ListParagraph"/>
        <w:tabs>
          <w:tab w:val="left" w:pos="510"/>
        </w:tabs>
        <w:ind w:right="3687" w:firstLine="0"/>
        <w:rPr>
          <w:rFonts w:ascii="Arial" w:hAnsi="Arial" w:cs="Arial"/>
          <w:sz w:val="30"/>
        </w:rPr>
      </w:pPr>
      <w:r w:rsidRPr="00855008">
        <w:rPr>
          <w:rFonts w:ascii="Arial" w:hAnsi="Arial" w:cs="Arial"/>
          <w:sz w:val="30"/>
        </w:rPr>
        <w:t>alpha helix</w:t>
      </w:r>
      <w:r w:rsidRPr="00855008">
        <w:rPr>
          <w:rFonts w:ascii="Arial" w:hAnsi="Arial" w:cs="Arial"/>
          <w:spacing w:val="-1"/>
          <w:sz w:val="30"/>
        </w:rPr>
        <w:t xml:space="preserve"> </w:t>
      </w:r>
      <w:r w:rsidRPr="00855008">
        <w:rPr>
          <w:rFonts w:ascii="Arial" w:hAnsi="Arial" w:cs="Arial"/>
          <w:sz w:val="30"/>
        </w:rPr>
        <w:t>=</w:t>
      </w:r>
      <w:r w:rsidRPr="00855008">
        <w:rPr>
          <w:rFonts w:ascii="Arial" w:hAnsi="Arial" w:cs="Arial"/>
          <w:spacing w:val="-1"/>
          <w:sz w:val="30"/>
        </w:rPr>
        <w:t xml:space="preserve"> </w:t>
      </w:r>
      <w:r w:rsidRPr="00855008">
        <w:rPr>
          <w:rFonts w:ascii="Arial" w:hAnsi="Arial" w:cs="Arial"/>
          <w:sz w:val="30"/>
        </w:rPr>
        <w:t>1712.39</w:t>
      </w:r>
    </w:p>
    <w:p w14:paraId="272FD174" w14:textId="176AF4E9" w:rsidR="00313566" w:rsidRPr="00855008" w:rsidRDefault="00000000">
      <w:pPr>
        <w:pStyle w:val="BodyText"/>
        <w:ind w:right="6358"/>
        <w:rPr>
          <w:rFonts w:ascii="Arial" w:hAnsi="Arial" w:cs="Arial"/>
        </w:rPr>
      </w:pPr>
      <w:r w:rsidRPr="00855008">
        <w:rPr>
          <w:rFonts w:ascii="Arial" w:hAnsi="Arial" w:cs="Arial"/>
        </w:rPr>
        <w:t>beta sheet = 2</w:t>
      </w:r>
      <w:r w:rsidR="00261B73" w:rsidRPr="00855008">
        <w:rPr>
          <w:rFonts w:ascii="Arial" w:hAnsi="Arial" w:cs="Arial"/>
        </w:rPr>
        <w:t>669</w:t>
      </w:r>
      <w:r w:rsidRPr="00855008">
        <w:rPr>
          <w:rFonts w:ascii="Arial" w:hAnsi="Arial" w:cs="Arial"/>
        </w:rPr>
        <w:t>.</w:t>
      </w:r>
      <w:r w:rsidR="00261B73" w:rsidRPr="00855008">
        <w:rPr>
          <w:rFonts w:ascii="Arial" w:hAnsi="Arial" w:cs="Arial"/>
        </w:rPr>
        <w:t>05</w:t>
      </w:r>
      <w:r w:rsidRPr="00855008">
        <w:rPr>
          <w:rFonts w:ascii="Arial" w:hAnsi="Arial" w:cs="Arial"/>
          <w:spacing w:val="-72"/>
        </w:rPr>
        <w:t xml:space="preserve"> </w:t>
      </w:r>
      <w:r w:rsidRPr="00855008">
        <w:rPr>
          <w:rFonts w:ascii="Arial" w:hAnsi="Arial" w:cs="Arial"/>
        </w:rPr>
        <w:t>1PGB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=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3678.5</w:t>
      </w:r>
    </w:p>
    <w:p w14:paraId="70830C81" w14:textId="1C72BEF3" w:rsidR="00313566" w:rsidRPr="00855008" w:rsidRDefault="00261B73">
      <w:pPr>
        <w:pStyle w:val="BodyText"/>
        <w:rPr>
          <w:rFonts w:ascii="Arial" w:hAnsi="Arial" w:cs="Arial"/>
        </w:rPr>
      </w:pPr>
      <w:proofErr w:type="spellStart"/>
      <w:r w:rsidRPr="00855008">
        <w:rPr>
          <w:rFonts w:ascii="Arial" w:hAnsi="Arial" w:cs="Arial"/>
        </w:rPr>
        <w:t>sumit</w:t>
      </w:r>
      <w:r w:rsidR="00000000" w:rsidRPr="00855008">
        <w:rPr>
          <w:rFonts w:ascii="Arial" w:hAnsi="Arial" w:cs="Arial"/>
        </w:rPr>
        <w:t>trpcage</w:t>
      </w:r>
      <w:proofErr w:type="spellEnd"/>
      <w:r w:rsidR="00000000" w:rsidRPr="00855008">
        <w:rPr>
          <w:rFonts w:ascii="Arial" w:hAnsi="Arial" w:cs="Arial"/>
          <w:spacing w:val="-3"/>
        </w:rPr>
        <w:t xml:space="preserve"> </w:t>
      </w:r>
      <w:r w:rsidR="00000000" w:rsidRPr="00855008">
        <w:rPr>
          <w:rFonts w:ascii="Arial" w:hAnsi="Arial" w:cs="Arial"/>
        </w:rPr>
        <w:t>=</w:t>
      </w:r>
      <w:r w:rsidR="00000000"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  <w:spacing w:val="-1"/>
        </w:rPr>
        <w:t>1819.9</w:t>
      </w:r>
    </w:p>
    <w:p w14:paraId="6E83A7FF" w14:textId="77777777" w:rsidR="00313566" w:rsidRPr="00855008" w:rsidRDefault="00313566">
      <w:pPr>
        <w:pStyle w:val="BodyText"/>
        <w:ind w:left="0"/>
        <w:rPr>
          <w:rFonts w:ascii="Arial" w:hAnsi="Arial" w:cs="Arial"/>
          <w:sz w:val="32"/>
        </w:rPr>
      </w:pPr>
    </w:p>
    <w:p w14:paraId="4BD0DAA5" w14:textId="77777777" w:rsidR="00313566" w:rsidRPr="00855008" w:rsidRDefault="00313566">
      <w:pPr>
        <w:pStyle w:val="BodyText"/>
        <w:spacing w:before="1"/>
        <w:ind w:left="0"/>
        <w:rPr>
          <w:rFonts w:ascii="Arial" w:hAnsi="Arial" w:cs="Arial"/>
          <w:sz w:val="28"/>
        </w:rPr>
      </w:pPr>
    </w:p>
    <w:p w14:paraId="38528EC1" w14:textId="7BD65596" w:rsidR="00922962" w:rsidRPr="00922962" w:rsidRDefault="00000000">
      <w:pPr>
        <w:pStyle w:val="ListParagraph"/>
        <w:numPr>
          <w:ilvl w:val="0"/>
          <w:numId w:val="1"/>
        </w:numPr>
        <w:tabs>
          <w:tab w:val="left" w:pos="498"/>
        </w:tabs>
        <w:ind w:right="2890" w:hanging="710"/>
        <w:rPr>
          <w:rFonts w:ascii="Arial" w:hAnsi="Arial" w:cs="Arial"/>
          <w:sz w:val="30"/>
        </w:rPr>
      </w:pPr>
      <w:r w:rsidRPr="00922962">
        <w:rPr>
          <w:rFonts w:ascii="Arial" w:hAnsi="Arial" w:cs="Arial"/>
          <w:b/>
          <w:bCs/>
          <w:sz w:val="30"/>
        </w:rPr>
        <w:t>Average</w:t>
      </w:r>
      <w:r w:rsidRPr="00922962">
        <w:rPr>
          <w:rFonts w:ascii="Arial" w:hAnsi="Arial" w:cs="Arial"/>
          <w:b/>
          <w:bCs/>
          <w:spacing w:val="-6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per</w:t>
      </w:r>
      <w:r w:rsidRPr="00922962">
        <w:rPr>
          <w:rFonts w:ascii="Arial" w:hAnsi="Arial" w:cs="Arial"/>
          <w:b/>
          <w:bCs/>
          <w:spacing w:val="-6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residue</w:t>
      </w:r>
      <w:r w:rsidRPr="00922962">
        <w:rPr>
          <w:rFonts w:ascii="Arial" w:hAnsi="Arial" w:cs="Arial"/>
          <w:b/>
          <w:bCs/>
          <w:spacing w:val="-7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solvent</w:t>
      </w:r>
      <w:r w:rsidRPr="00922962">
        <w:rPr>
          <w:rFonts w:ascii="Arial" w:hAnsi="Arial" w:cs="Arial"/>
          <w:b/>
          <w:bCs/>
          <w:spacing w:val="-7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accessible</w:t>
      </w:r>
      <w:r w:rsidRPr="00922962">
        <w:rPr>
          <w:rFonts w:ascii="Arial" w:hAnsi="Arial" w:cs="Arial"/>
          <w:b/>
          <w:bCs/>
          <w:spacing w:val="-5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surface</w:t>
      </w:r>
      <w:r w:rsidRPr="00922962">
        <w:rPr>
          <w:rFonts w:ascii="Arial" w:hAnsi="Arial" w:cs="Arial"/>
          <w:b/>
          <w:bCs/>
          <w:spacing w:val="-6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area</w:t>
      </w:r>
      <w:r w:rsidRPr="00855008">
        <w:rPr>
          <w:rFonts w:ascii="Arial" w:hAnsi="Arial" w:cs="Arial"/>
          <w:spacing w:val="-7"/>
          <w:sz w:val="30"/>
        </w:rPr>
        <w:t xml:space="preserve"> </w:t>
      </w:r>
    </w:p>
    <w:p w14:paraId="2660D345" w14:textId="3D928058" w:rsidR="00313566" w:rsidRPr="00855008" w:rsidRDefault="00000000" w:rsidP="00922962">
      <w:pPr>
        <w:pStyle w:val="ListParagraph"/>
        <w:tabs>
          <w:tab w:val="left" w:pos="498"/>
        </w:tabs>
        <w:ind w:right="2890" w:firstLine="0"/>
        <w:rPr>
          <w:rFonts w:ascii="Arial" w:hAnsi="Arial" w:cs="Arial"/>
          <w:sz w:val="30"/>
        </w:rPr>
      </w:pPr>
      <w:r w:rsidRPr="00855008">
        <w:rPr>
          <w:rFonts w:ascii="Arial" w:hAnsi="Arial" w:cs="Arial"/>
          <w:sz w:val="30"/>
        </w:rPr>
        <w:t>alpha helix</w:t>
      </w:r>
      <w:r w:rsidRPr="00855008">
        <w:rPr>
          <w:rFonts w:ascii="Arial" w:hAnsi="Arial" w:cs="Arial"/>
          <w:spacing w:val="-1"/>
          <w:sz w:val="30"/>
        </w:rPr>
        <w:t xml:space="preserve"> </w:t>
      </w:r>
      <w:r w:rsidRPr="00855008">
        <w:rPr>
          <w:rFonts w:ascii="Arial" w:hAnsi="Arial" w:cs="Arial"/>
          <w:sz w:val="30"/>
        </w:rPr>
        <w:t>=</w:t>
      </w:r>
      <w:r w:rsidRPr="00855008">
        <w:rPr>
          <w:rFonts w:ascii="Arial" w:hAnsi="Arial" w:cs="Arial"/>
          <w:spacing w:val="-1"/>
          <w:sz w:val="30"/>
        </w:rPr>
        <w:t xml:space="preserve"> </w:t>
      </w:r>
      <w:r w:rsidRPr="00855008">
        <w:rPr>
          <w:rFonts w:ascii="Arial" w:hAnsi="Arial" w:cs="Arial"/>
          <w:sz w:val="30"/>
        </w:rPr>
        <w:t>12</w:t>
      </w:r>
      <w:r w:rsidR="00807A05" w:rsidRPr="00855008">
        <w:rPr>
          <w:rFonts w:ascii="Arial" w:hAnsi="Arial" w:cs="Arial"/>
          <w:sz w:val="30"/>
        </w:rPr>
        <w:t>1</w:t>
      </w:r>
      <w:r w:rsidRPr="00855008">
        <w:rPr>
          <w:rFonts w:ascii="Arial" w:hAnsi="Arial" w:cs="Arial"/>
          <w:sz w:val="30"/>
        </w:rPr>
        <w:t>.3</w:t>
      </w:r>
      <w:r w:rsidR="00807A05" w:rsidRPr="00855008">
        <w:rPr>
          <w:rFonts w:ascii="Arial" w:hAnsi="Arial" w:cs="Arial"/>
          <w:sz w:val="30"/>
        </w:rPr>
        <w:t>2</w:t>
      </w:r>
    </w:p>
    <w:p w14:paraId="79B4808A" w14:textId="77777777" w:rsidR="00CD633D" w:rsidRPr="00855008" w:rsidRDefault="00000000">
      <w:pPr>
        <w:pStyle w:val="BodyText"/>
        <w:ind w:right="6358"/>
        <w:rPr>
          <w:rFonts w:ascii="Arial" w:hAnsi="Arial" w:cs="Arial"/>
        </w:rPr>
      </w:pPr>
      <w:r w:rsidRPr="00855008">
        <w:rPr>
          <w:rFonts w:ascii="Arial" w:hAnsi="Arial" w:cs="Arial"/>
        </w:rPr>
        <w:t>beta</w:t>
      </w:r>
      <w:r w:rsidRPr="00855008">
        <w:rPr>
          <w:rFonts w:ascii="Arial" w:hAnsi="Arial" w:cs="Arial"/>
          <w:spacing w:val="-8"/>
        </w:rPr>
        <w:t xml:space="preserve"> </w:t>
      </w:r>
      <w:r w:rsidRPr="00855008">
        <w:rPr>
          <w:rFonts w:ascii="Arial" w:hAnsi="Arial" w:cs="Arial"/>
        </w:rPr>
        <w:t>sheet</w:t>
      </w:r>
      <w:r w:rsidRPr="00855008">
        <w:rPr>
          <w:rFonts w:ascii="Arial" w:hAnsi="Arial" w:cs="Arial"/>
          <w:spacing w:val="-10"/>
        </w:rPr>
        <w:t xml:space="preserve"> </w:t>
      </w:r>
      <w:r w:rsidRPr="00855008">
        <w:rPr>
          <w:rFonts w:ascii="Arial" w:hAnsi="Arial" w:cs="Arial"/>
        </w:rPr>
        <w:t>=</w:t>
      </w:r>
      <w:r w:rsidRPr="00855008">
        <w:rPr>
          <w:rFonts w:ascii="Arial" w:hAnsi="Arial" w:cs="Arial"/>
          <w:spacing w:val="-10"/>
        </w:rPr>
        <w:t xml:space="preserve"> </w:t>
      </w:r>
      <w:r w:rsidRPr="00855008">
        <w:rPr>
          <w:rFonts w:ascii="Arial" w:hAnsi="Arial" w:cs="Arial"/>
        </w:rPr>
        <w:t>1</w:t>
      </w:r>
      <w:r w:rsidR="00CD633D" w:rsidRPr="00855008">
        <w:rPr>
          <w:rFonts w:ascii="Arial" w:hAnsi="Arial" w:cs="Arial"/>
        </w:rPr>
        <w:t>22.31</w:t>
      </w:r>
    </w:p>
    <w:p w14:paraId="6B95C40C" w14:textId="386E475D" w:rsidR="00313566" w:rsidRPr="00855008" w:rsidRDefault="00000000">
      <w:pPr>
        <w:pStyle w:val="BodyText"/>
        <w:ind w:right="6358"/>
        <w:rPr>
          <w:rFonts w:ascii="Arial" w:hAnsi="Arial" w:cs="Arial"/>
        </w:rPr>
      </w:pPr>
      <w:r w:rsidRPr="00855008">
        <w:rPr>
          <w:rFonts w:ascii="Arial" w:hAnsi="Arial" w:cs="Arial"/>
        </w:rPr>
        <w:t>1PGB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=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65.7</w:t>
      </w:r>
    </w:p>
    <w:p w14:paraId="6B8EF339" w14:textId="11F59954" w:rsidR="00313566" w:rsidRPr="00855008" w:rsidRDefault="00807A05">
      <w:pPr>
        <w:pStyle w:val="BodyText"/>
        <w:rPr>
          <w:rFonts w:ascii="Arial" w:hAnsi="Arial" w:cs="Arial"/>
        </w:rPr>
      </w:pPr>
      <w:proofErr w:type="spellStart"/>
      <w:r w:rsidRPr="00855008">
        <w:rPr>
          <w:rFonts w:ascii="Arial" w:hAnsi="Arial" w:cs="Arial"/>
        </w:rPr>
        <w:t>sumit</w:t>
      </w:r>
      <w:r w:rsidR="00000000" w:rsidRPr="00855008">
        <w:rPr>
          <w:rFonts w:ascii="Arial" w:hAnsi="Arial" w:cs="Arial"/>
        </w:rPr>
        <w:t>trpcage</w:t>
      </w:r>
      <w:proofErr w:type="spellEnd"/>
      <w:r w:rsidR="00000000" w:rsidRPr="00855008">
        <w:rPr>
          <w:rFonts w:ascii="Arial" w:hAnsi="Arial" w:cs="Arial"/>
          <w:spacing w:val="-2"/>
        </w:rPr>
        <w:t xml:space="preserve"> </w:t>
      </w:r>
      <w:r w:rsidR="00000000" w:rsidRPr="00855008">
        <w:rPr>
          <w:rFonts w:ascii="Arial" w:hAnsi="Arial" w:cs="Arial"/>
        </w:rPr>
        <w:t>=</w:t>
      </w:r>
      <w:r w:rsidR="00000000" w:rsidRPr="00855008">
        <w:rPr>
          <w:rFonts w:ascii="Arial" w:hAnsi="Arial" w:cs="Arial"/>
          <w:spacing w:val="73"/>
        </w:rPr>
        <w:t xml:space="preserve"> </w:t>
      </w:r>
      <w:r w:rsidR="00000000" w:rsidRPr="00855008">
        <w:rPr>
          <w:rFonts w:ascii="Arial" w:hAnsi="Arial" w:cs="Arial"/>
        </w:rPr>
        <w:t>91</w:t>
      </w:r>
      <w:r w:rsidRPr="00855008">
        <w:rPr>
          <w:rFonts w:ascii="Arial" w:hAnsi="Arial" w:cs="Arial"/>
        </w:rPr>
        <w:t>.0</w:t>
      </w:r>
    </w:p>
    <w:p w14:paraId="6615BD14" w14:textId="77777777" w:rsidR="00313566" w:rsidRPr="00855008" w:rsidRDefault="00313566">
      <w:pPr>
        <w:pStyle w:val="BodyText"/>
        <w:ind w:left="0"/>
        <w:rPr>
          <w:rFonts w:ascii="Arial" w:hAnsi="Arial" w:cs="Arial"/>
          <w:sz w:val="32"/>
        </w:rPr>
      </w:pPr>
    </w:p>
    <w:p w14:paraId="6B038D57" w14:textId="77777777" w:rsidR="00313566" w:rsidRPr="00855008" w:rsidRDefault="00313566">
      <w:pPr>
        <w:pStyle w:val="BodyText"/>
        <w:spacing w:before="11"/>
        <w:ind w:left="0"/>
        <w:rPr>
          <w:rFonts w:ascii="Arial" w:hAnsi="Arial" w:cs="Arial"/>
          <w:sz w:val="27"/>
        </w:rPr>
      </w:pPr>
    </w:p>
    <w:p w14:paraId="02524416" w14:textId="5906D446" w:rsidR="00313566" w:rsidRPr="00922962" w:rsidRDefault="00000000">
      <w:pPr>
        <w:pStyle w:val="ListParagraph"/>
        <w:numPr>
          <w:ilvl w:val="0"/>
          <w:numId w:val="1"/>
        </w:numPr>
        <w:tabs>
          <w:tab w:val="left" w:pos="510"/>
        </w:tabs>
        <w:ind w:left="509" w:hanging="395"/>
        <w:rPr>
          <w:rFonts w:ascii="Arial" w:hAnsi="Arial" w:cs="Arial"/>
          <w:b/>
          <w:bCs/>
          <w:sz w:val="30"/>
        </w:rPr>
      </w:pPr>
      <w:r w:rsidRPr="00922962">
        <w:rPr>
          <w:rFonts w:ascii="Arial" w:hAnsi="Arial" w:cs="Arial"/>
          <w:b/>
          <w:bCs/>
          <w:sz w:val="30"/>
        </w:rPr>
        <w:t>The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increasing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order</w:t>
      </w:r>
      <w:r w:rsidRPr="00922962">
        <w:rPr>
          <w:rFonts w:ascii="Arial" w:hAnsi="Arial" w:cs="Arial"/>
          <w:b/>
          <w:bCs/>
          <w:spacing w:val="-3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of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per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residue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SASA</w:t>
      </w:r>
      <w:r w:rsidRPr="00922962">
        <w:rPr>
          <w:rFonts w:ascii="Arial" w:hAnsi="Arial" w:cs="Arial"/>
          <w:b/>
          <w:bCs/>
          <w:spacing w:val="-18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is</w:t>
      </w:r>
      <w:r w:rsidRPr="00922962">
        <w:rPr>
          <w:rFonts w:ascii="Arial" w:hAnsi="Arial" w:cs="Arial"/>
          <w:b/>
          <w:bCs/>
          <w:spacing w:val="-3"/>
          <w:sz w:val="30"/>
        </w:rPr>
        <w:t xml:space="preserve"> </w:t>
      </w:r>
    </w:p>
    <w:p w14:paraId="290AAEAD" w14:textId="14CD6C2C" w:rsidR="00313566" w:rsidRPr="00855008" w:rsidRDefault="00000000">
      <w:pPr>
        <w:pStyle w:val="BodyText"/>
        <w:spacing w:before="1" w:line="344" w:lineRule="exact"/>
        <w:rPr>
          <w:rFonts w:ascii="Arial" w:hAnsi="Arial" w:cs="Arial"/>
        </w:rPr>
      </w:pPr>
      <w:r w:rsidRPr="00855008">
        <w:rPr>
          <w:rFonts w:ascii="Arial" w:hAnsi="Arial" w:cs="Arial"/>
        </w:rPr>
        <w:t>1PGB</w:t>
      </w:r>
      <w:r w:rsidRPr="00855008">
        <w:rPr>
          <w:rFonts w:ascii="Arial" w:hAnsi="Arial" w:cs="Arial"/>
          <w:spacing w:val="71"/>
        </w:rPr>
        <w:t xml:space="preserve"> </w:t>
      </w:r>
      <w:r w:rsidRPr="00855008">
        <w:rPr>
          <w:rFonts w:ascii="Arial" w:hAnsi="Arial" w:cs="Arial"/>
        </w:rPr>
        <w:t>&lt;</w:t>
      </w:r>
      <w:r w:rsidRPr="00855008">
        <w:rPr>
          <w:rFonts w:ascii="Arial" w:hAnsi="Arial" w:cs="Arial"/>
          <w:spacing w:val="73"/>
        </w:rPr>
        <w:t xml:space="preserve"> </w:t>
      </w:r>
      <w:proofErr w:type="spellStart"/>
      <w:r w:rsidR="00855008">
        <w:rPr>
          <w:rFonts w:ascii="Arial" w:hAnsi="Arial" w:cs="Arial"/>
        </w:rPr>
        <w:t>sumit</w:t>
      </w:r>
      <w:r w:rsidRPr="00855008">
        <w:rPr>
          <w:rFonts w:ascii="Arial" w:hAnsi="Arial" w:cs="Arial"/>
        </w:rPr>
        <w:t>trpcage</w:t>
      </w:r>
      <w:proofErr w:type="spellEnd"/>
      <w:r w:rsidRPr="00855008">
        <w:rPr>
          <w:rFonts w:ascii="Arial" w:hAnsi="Arial" w:cs="Arial"/>
          <w:spacing w:val="72"/>
        </w:rPr>
        <w:t xml:space="preserve"> </w:t>
      </w:r>
      <w:r w:rsidRPr="00855008">
        <w:rPr>
          <w:rFonts w:ascii="Arial" w:hAnsi="Arial" w:cs="Arial"/>
        </w:rPr>
        <w:t>&lt;</w:t>
      </w:r>
      <w:r w:rsidRPr="00855008">
        <w:rPr>
          <w:rFonts w:ascii="Arial" w:hAnsi="Arial" w:cs="Arial"/>
          <w:spacing w:val="73"/>
        </w:rPr>
        <w:t xml:space="preserve"> </w:t>
      </w:r>
      <w:r w:rsidRPr="00855008">
        <w:rPr>
          <w:rFonts w:ascii="Arial" w:hAnsi="Arial" w:cs="Arial"/>
        </w:rPr>
        <w:t>beta</w:t>
      </w:r>
      <w:r w:rsidRPr="00855008">
        <w:rPr>
          <w:rFonts w:ascii="Arial" w:hAnsi="Arial" w:cs="Arial"/>
          <w:spacing w:val="-2"/>
        </w:rPr>
        <w:t xml:space="preserve"> </w:t>
      </w:r>
      <w:r w:rsidRPr="00855008">
        <w:rPr>
          <w:rFonts w:ascii="Arial" w:hAnsi="Arial" w:cs="Arial"/>
        </w:rPr>
        <w:t>sheet</w:t>
      </w:r>
      <w:r w:rsidRPr="00855008">
        <w:rPr>
          <w:rFonts w:ascii="Arial" w:hAnsi="Arial" w:cs="Arial"/>
          <w:spacing w:val="73"/>
        </w:rPr>
        <w:t xml:space="preserve"> </w:t>
      </w:r>
      <w:r w:rsidRPr="00855008">
        <w:rPr>
          <w:rFonts w:ascii="Arial" w:hAnsi="Arial" w:cs="Arial"/>
        </w:rPr>
        <w:t>&lt;</w:t>
      </w:r>
      <w:r w:rsidRPr="00855008">
        <w:rPr>
          <w:rFonts w:ascii="Arial" w:hAnsi="Arial" w:cs="Arial"/>
          <w:spacing w:val="72"/>
        </w:rPr>
        <w:t xml:space="preserve"> </w:t>
      </w:r>
      <w:r w:rsidRPr="00855008">
        <w:rPr>
          <w:rFonts w:ascii="Arial" w:hAnsi="Arial" w:cs="Arial"/>
        </w:rPr>
        <w:t>alpha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helix</w:t>
      </w:r>
    </w:p>
    <w:p w14:paraId="22A8AC18" w14:textId="1B7A9C55" w:rsidR="00313566" w:rsidRPr="00855008" w:rsidRDefault="00855008">
      <w:pPr>
        <w:pStyle w:val="BodyText"/>
        <w:ind w:left="0"/>
        <w:rPr>
          <w:rFonts w:ascii="Arial" w:hAnsi="Arial" w:cs="Arial"/>
          <w:sz w:val="32"/>
        </w:rPr>
      </w:pPr>
      <w:r w:rsidRPr="00855008">
        <w:rPr>
          <w:rFonts w:ascii="Arial" w:hAnsi="Arial" w:cs="Arial"/>
        </w:rPr>
        <w:t>Pre-residue SASA provides a metric for assessing the average solvent exposure of individual residues within a protein. According to this measure, it can be inferred that 1PGB is the least solvent-exposed on average, while the alpha helix is the most solvent-exposed.</w:t>
      </w:r>
    </w:p>
    <w:p w14:paraId="3BDEE844" w14:textId="77777777" w:rsidR="00313566" w:rsidRPr="00855008" w:rsidRDefault="00313566">
      <w:pPr>
        <w:pStyle w:val="BodyText"/>
        <w:ind w:left="0"/>
        <w:rPr>
          <w:rFonts w:ascii="Arial" w:hAnsi="Arial" w:cs="Arial"/>
          <w:sz w:val="28"/>
        </w:rPr>
      </w:pPr>
    </w:p>
    <w:p w14:paraId="7181407B" w14:textId="458C06C4" w:rsidR="00313566" w:rsidRPr="00922962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1"/>
        <w:ind w:right="4126" w:hanging="710"/>
        <w:rPr>
          <w:rFonts w:ascii="Arial" w:hAnsi="Arial" w:cs="Arial"/>
          <w:b/>
          <w:bCs/>
          <w:sz w:val="30"/>
        </w:rPr>
      </w:pPr>
      <w:r w:rsidRPr="00922962">
        <w:rPr>
          <w:rFonts w:ascii="Arial" w:hAnsi="Arial" w:cs="Arial"/>
          <w:b/>
          <w:bCs/>
          <w:sz w:val="30"/>
        </w:rPr>
        <w:t>On</w:t>
      </w:r>
      <w:r w:rsidRPr="00922962">
        <w:rPr>
          <w:rFonts w:ascii="Arial" w:hAnsi="Arial" w:cs="Arial"/>
          <w:b/>
          <w:bCs/>
          <w:spacing w:val="-3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changing</w:t>
      </w:r>
      <w:r w:rsidRPr="00922962">
        <w:rPr>
          <w:rFonts w:ascii="Arial" w:hAnsi="Arial" w:cs="Arial"/>
          <w:b/>
          <w:bCs/>
          <w:spacing w:val="-3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probe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radius</w:t>
      </w:r>
      <w:r w:rsidRPr="00922962">
        <w:rPr>
          <w:rFonts w:ascii="Arial" w:hAnsi="Arial" w:cs="Arial"/>
          <w:b/>
          <w:bCs/>
          <w:spacing w:val="-3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from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1.4</w:t>
      </w:r>
      <w:r w:rsidRPr="00922962">
        <w:rPr>
          <w:rFonts w:ascii="Arial" w:hAnsi="Arial" w:cs="Arial"/>
          <w:b/>
          <w:bCs/>
          <w:spacing w:val="-3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to</w:t>
      </w:r>
      <w:r w:rsidRPr="00922962">
        <w:rPr>
          <w:rFonts w:ascii="Arial" w:hAnsi="Arial" w:cs="Arial"/>
          <w:b/>
          <w:bCs/>
          <w:spacing w:val="-4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1.0,</w:t>
      </w:r>
      <w:r w:rsidRPr="00922962">
        <w:rPr>
          <w:rFonts w:ascii="Arial" w:hAnsi="Arial" w:cs="Arial"/>
          <w:b/>
          <w:bCs/>
          <w:spacing w:val="-72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Absolute</w:t>
      </w:r>
      <w:r w:rsidRPr="00922962">
        <w:rPr>
          <w:rFonts w:ascii="Arial" w:hAnsi="Arial" w:cs="Arial"/>
          <w:b/>
          <w:bCs/>
          <w:spacing w:val="-2"/>
          <w:sz w:val="30"/>
        </w:rPr>
        <w:t xml:space="preserve"> </w:t>
      </w:r>
      <w:proofErr w:type="gramStart"/>
      <w:r w:rsidRPr="00922962">
        <w:rPr>
          <w:rFonts w:ascii="Arial" w:hAnsi="Arial" w:cs="Arial"/>
          <w:b/>
          <w:bCs/>
          <w:sz w:val="30"/>
        </w:rPr>
        <w:t>SASA</w:t>
      </w:r>
      <w:r w:rsidRPr="00922962">
        <w:rPr>
          <w:rFonts w:ascii="Arial" w:hAnsi="Arial" w:cs="Arial"/>
          <w:b/>
          <w:bCs/>
          <w:spacing w:val="-16"/>
          <w:sz w:val="30"/>
        </w:rPr>
        <w:t xml:space="preserve"> </w:t>
      </w:r>
      <w:r w:rsidRPr="00922962">
        <w:rPr>
          <w:rFonts w:ascii="Arial" w:hAnsi="Arial" w:cs="Arial"/>
          <w:b/>
          <w:bCs/>
          <w:sz w:val="30"/>
        </w:rPr>
        <w:t>:</w:t>
      </w:r>
      <w:proofErr w:type="gramEnd"/>
    </w:p>
    <w:p w14:paraId="0693AF57" w14:textId="552EE101" w:rsidR="00313566" w:rsidRPr="00855008" w:rsidRDefault="00000000">
      <w:pPr>
        <w:pStyle w:val="BodyText"/>
        <w:ind w:right="6225"/>
        <w:rPr>
          <w:rFonts w:ascii="Arial" w:hAnsi="Arial" w:cs="Arial"/>
        </w:rPr>
      </w:pPr>
      <w:r w:rsidRPr="00855008">
        <w:rPr>
          <w:rFonts w:ascii="Arial" w:hAnsi="Arial" w:cs="Arial"/>
        </w:rPr>
        <w:t>alpha helix = 1627.27</w:t>
      </w:r>
      <w:r w:rsidRPr="00855008">
        <w:rPr>
          <w:rFonts w:ascii="Arial" w:hAnsi="Arial" w:cs="Arial"/>
          <w:spacing w:val="-72"/>
        </w:rPr>
        <w:t xml:space="preserve"> </w:t>
      </w:r>
      <w:r w:rsidRPr="00855008">
        <w:rPr>
          <w:rFonts w:ascii="Arial" w:hAnsi="Arial" w:cs="Arial"/>
        </w:rPr>
        <w:t>beta sheet = 2</w:t>
      </w:r>
      <w:r w:rsidR="008B5A6E" w:rsidRPr="00855008">
        <w:rPr>
          <w:rFonts w:ascii="Arial" w:hAnsi="Arial" w:cs="Arial"/>
        </w:rPr>
        <w:t>529.5</w:t>
      </w:r>
      <w:r w:rsidRPr="00855008">
        <w:rPr>
          <w:rFonts w:ascii="Arial" w:hAnsi="Arial" w:cs="Arial"/>
        </w:rPr>
        <w:t>9</w:t>
      </w:r>
      <w:r w:rsidRPr="00855008">
        <w:rPr>
          <w:rFonts w:ascii="Arial" w:hAnsi="Arial" w:cs="Arial"/>
          <w:spacing w:val="1"/>
        </w:rPr>
        <w:t xml:space="preserve"> </w:t>
      </w:r>
      <w:r w:rsidRPr="00855008">
        <w:rPr>
          <w:rFonts w:ascii="Arial" w:hAnsi="Arial" w:cs="Arial"/>
        </w:rPr>
        <w:t>1PGB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=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3735.83</w:t>
      </w:r>
    </w:p>
    <w:p w14:paraId="6ABA4B6F" w14:textId="01ADA757" w:rsidR="00313566" w:rsidRPr="00855008" w:rsidRDefault="00855008">
      <w:pPr>
        <w:pStyle w:val="BodyText"/>
        <w:spacing w:line="344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sumit</w:t>
      </w:r>
      <w:r w:rsidR="00000000" w:rsidRPr="00855008">
        <w:rPr>
          <w:rFonts w:ascii="Arial" w:hAnsi="Arial" w:cs="Arial"/>
        </w:rPr>
        <w:t>trpcage</w:t>
      </w:r>
      <w:proofErr w:type="spellEnd"/>
      <w:r w:rsidR="00000000" w:rsidRPr="00855008">
        <w:rPr>
          <w:rFonts w:ascii="Arial" w:hAnsi="Arial" w:cs="Arial"/>
          <w:spacing w:val="-3"/>
        </w:rPr>
        <w:t xml:space="preserve"> </w:t>
      </w:r>
      <w:r w:rsidR="00000000" w:rsidRPr="00855008">
        <w:rPr>
          <w:rFonts w:ascii="Arial" w:hAnsi="Arial" w:cs="Arial"/>
        </w:rPr>
        <w:t>=</w:t>
      </w:r>
      <w:r w:rsidR="00000000" w:rsidRPr="00855008">
        <w:rPr>
          <w:rFonts w:ascii="Arial" w:hAnsi="Arial" w:cs="Arial"/>
          <w:spacing w:val="-1"/>
        </w:rPr>
        <w:t xml:space="preserve"> </w:t>
      </w:r>
      <w:r w:rsidR="00000000" w:rsidRPr="00855008">
        <w:rPr>
          <w:rFonts w:ascii="Arial" w:hAnsi="Arial" w:cs="Arial"/>
        </w:rPr>
        <w:t>17</w:t>
      </w:r>
      <w:r w:rsidR="008B5A6E" w:rsidRPr="00855008">
        <w:rPr>
          <w:rFonts w:ascii="Arial" w:hAnsi="Arial" w:cs="Arial"/>
        </w:rPr>
        <w:t>59</w:t>
      </w:r>
      <w:r w:rsidR="00000000" w:rsidRPr="00855008">
        <w:rPr>
          <w:rFonts w:ascii="Arial" w:hAnsi="Arial" w:cs="Arial"/>
        </w:rPr>
        <w:t>.2</w:t>
      </w:r>
      <w:r w:rsidR="008B5A6E" w:rsidRPr="00855008">
        <w:rPr>
          <w:rFonts w:ascii="Arial" w:hAnsi="Arial" w:cs="Arial"/>
        </w:rPr>
        <w:t>0</w:t>
      </w:r>
    </w:p>
    <w:p w14:paraId="07ECCF53" w14:textId="77777777" w:rsidR="00313566" w:rsidRPr="00855008" w:rsidRDefault="00313566">
      <w:pPr>
        <w:pStyle w:val="BodyText"/>
        <w:ind w:left="0"/>
        <w:rPr>
          <w:rFonts w:ascii="Arial" w:hAnsi="Arial" w:cs="Arial"/>
        </w:rPr>
      </w:pPr>
    </w:p>
    <w:p w14:paraId="549F6C03" w14:textId="364CBC5C" w:rsidR="00855008" w:rsidRDefault="00000000">
      <w:pPr>
        <w:pStyle w:val="BodyText"/>
        <w:ind w:right="6675"/>
        <w:rPr>
          <w:rFonts w:ascii="Arial" w:hAnsi="Arial" w:cs="Arial"/>
          <w:spacing w:val="1"/>
        </w:rPr>
      </w:pPr>
      <w:r w:rsidRPr="00922962">
        <w:rPr>
          <w:rFonts w:ascii="Arial" w:hAnsi="Arial" w:cs="Arial"/>
          <w:b/>
          <w:bCs/>
        </w:rPr>
        <w:t xml:space="preserve">Relative </w:t>
      </w:r>
      <w:proofErr w:type="gramStart"/>
      <w:r w:rsidRPr="00922962">
        <w:rPr>
          <w:rFonts w:ascii="Arial" w:hAnsi="Arial" w:cs="Arial"/>
          <w:b/>
          <w:bCs/>
        </w:rPr>
        <w:t xml:space="preserve">SASA </w:t>
      </w:r>
      <w:r w:rsidRPr="00855008">
        <w:rPr>
          <w:rFonts w:ascii="Arial" w:hAnsi="Arial" w:cs="Arial"/>
          <w:spacing w:val="1"/>
        </w:rPr>
        <w:t xml:space="preserve"> </w:t>
      </w:r>
      <w:r w:rsidRPr="00855008">
        <w:rPr>
          <w:rFonts w:ascii="Arial" w:hAnsi="Arial" w:cs="Arial"/>
        </w:rPr>
        <w:t>alpha</w:t>
      </w:r>
      <w:proofErr w:type="gramEnd"/>
      <w:r w:rsidRPr="00855008">
        <w:rPr>
          <w:rFonts w:ascii="Arial" w:hAnsi="Arial" w:cs="Arial"/>
        </w:rPr>
        <w:t xml:space="preserve"> helix = 0.95</w:t>
      </w:r>
      <w:r w:rsidRPr="00855008">
        <w:rPr>
          <w:rFonts w:ascii="Arial" w:hAnsi="Arial" w:cs="Arial"/>
          <w:spacing w:val="-72"/>
        </w:rPr>
        <w:t xml:space="preserve"> </w:t>
      </w:r>
      <w:r w:rsidRPr="00855008">
        <w:rPr>
          <w:rFonts w:ascii="Arial" w:hAnsi="Arial" w:cs="Arial"/>
        </w:rPr>
        <w:t>beta sheet = 0.9</w:t>
      </w:r>
      <w:r w:rsidR="008B5A6E" w:rsidRPr="00855008">
        <w:rPr>
          <w:rFonts w:ascii="Arial" w:hAnsi="Arial" w:cs="Arial"/>
        </w:rPr>
        <w:t>47</w:t>
      </w:r>
      <w:r w:rsidRPr="00855008">
        <w:rPr>
          <w:rFonts w:ascii="Arial" w:hAnsi="Arial" w:cs="Arial"/>
          <w:spacing w:val="1"/>
        </w:rPr>
        <w:t xml:space="preserve"> </w:t>
      </w:r>
    </w:p>
    <w:p w14:paraId="22DA4925" w14:textId="21910CA9" w:rsidR="00313566" w:rsidRPr="00855008" w:rsidRDefault="00000000">
      <w:pPr>
        <w:pStyle w:val="BodyText"/>
        <w:ind w:right="6675"/>
        <w:rPr>
          <w:rFonts w:ascii="Arial" w:hAnsi="Arial" w:cs="Arial"/>
        </w:rPr>
      </w:pPr>
      <w:r w:rsidRPr="00855008">
        <w:rPr>
          <w:rFonts w:ascii="Arial" w:hAnsi="Arial" w:cs="Arial"/>
        </w:rPr>
        <w:t>1PGB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=</w:t>
      </w:r>
      <w:r w:rsidRPr="00855008">
        <w:rPr>
          <w:rFonts w:ascii="Arial" w:hAnsi="Arial" w:cs="Arial"/>
          <w:spacing w:val="-1"/>
        </w:rPr>
        <w:t xml:space="preserve"> </w:t>
      </w:r>
      <w:r w:rsidRPr="00855008">
        <w:rPr>
          <w:rFonts w:ascii="Arial" w:hAnsi="Arial" w:cs="Arial"/>
        </w:rPr>
        <w:t>0.98</w:t>
      </w:r>
      <w:r w:rsidR="008B5A6E" w:rsidRPr="00855008">
        <w:rPr>
          <w:rFonts w:ascii="Arial" w:hAnsi="Arial" w:cs="Arial"/>
        </w:rPr>
        <w:t>4</w:t>
      </w:r>
    </w:p>
    <w:p w14:paraId="2B34C771" w14:textId="6289A81D" w:rsidR="00313566" w:rsidRPr="00855008" w:rsidRDefault="00855008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sumit</w:t>
      </w:r>
      <w:r w:rsidR="00000000" w:rsidRPr="00855008">
        <w:rPr>
          <w:rFonts w:ascii="Arial" w:hAnsi="Arial" w:cs="Arial"/>
        </w:rPr>
        <w:t>trpcage</w:t>
      </w:r>
      <w:proofErr w:type="spellEnd"/>
      <w:r w:rsidR="00000000" w:rsidRPr="00855008">
        <w:rPr>
          <w:rFonts w:ascii="Arial" w:hAnsi="Arial" w:cs="Arial"/>
          <w:spacing w:val="-3"/>
        </w:rPr>
        <w:t xml:space="preserve"> </w:t>
      </w:r>
      <w:r w:rsidR="00000000" w:rsidRPr="00855008">
        <w:rPr>
          <w:rFonts w:ascii="Arial" w:hAnsi="Arial" w:cs="Arial"/>
        </w:rPr>
        <w:t>=</w:t>
      </w:r>
      <w:r w:rsidR="00000000" w:rsidRPr="00855008">
        <w:rPr>
          <w:rFonts w:ascii="Arial" w:hAnsi="Arial" w:cs="Arial"/>
          <w:spacing w:val="-1"/>
        </w:rPr>
        <w:t xml:space="preserve"> </w:t>
      </w:r>
      <w:r w:rsidR="00000000" w:rsidRPr="00855008">
        <w:rPr>
          <w:rFonts w:ascii="Arial" w:hAnsi="Arial" w:cs="Arial"/>
        </w:rPr>
        <w:t>0.9</w:t>
      </w:r>
      <w:r w:rsidR="008B5A6E" w:rsidRPr="00855008">
        <w:rPr>
          <w:rFonts w:ascii="Arial" w:hAnsi="Arial" w:cs="Arial"/>
        </w:rPr>
        <w:t>66</w:t>
      </w:r>
    </w:p>
    <w:p w14:paraId="22D3F9F7" w14:textId="77777777" w:rsidR="00313566" w:rsidRPr="00855008" w:rsidRDefault="00313566">
      <w:pPr>
        <w:rPr>
          <w:rFonts w:ascii="Arial" w:hAnsi="Arial" w:cs="Arial"/>
        </w:rPr>
        <w:sectPr w:rsidR="00313566" w:rsidRPr="00855008" w:rsidSect="008656F7">
          <w:type w:val="continuous"/>
          <w:pgSz w:w="11910" w:h="16840"/>
          <w:pgMar w:top="1060" w:right="1200" w:bottom="280" w:left="1020" w:header="720" w:footer="720" w:gutter="0"/>
          <w:cols w:space="720"/>
        </w:sectPr>
      </w:pPr>
    </w:p>
    <w:p w14:paraId="3929503F" w14:textId="77777777" w:rsidR="00313566" w:rsidRPr="00855008" w:rsidRDefault="00313566">
      <w:pPr>
        <w:pStyle w:val="BodyText"/>
        <w:ind w:left="0"/>
        <w:rPr>
          <w:rFonts w:ascii="Arial" w:hAnsi="Arial" w:cs="Arial"/>
          <w:sz w:val="12"/>
        </w:rPr>
      </w:pPr>
    </w:p>
    <w:p w14:paraId="00F860B9" w14:textId="03EC76AA" w:rsidR="00313566" w:rsidRPr="00855008" w:rsidRDefault="00855008" w:rsidP="00855008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115" w:right="113" w:firstLine="0"/>
        <w:rPr>
          <w:rFonts w:ascii="Arial" w:hAnsi="Arial" w:cs="Arial"/>
          <w:sz w:val="30"/>
        </w:rPr>
      </w:pPr>
      <w:r w:rsidRPr="00855008">
        <w:rPr>
          <w:rFonts w:ascii="Arial" w:hAnsi="Arial" w:cs="Arial"/>
          <w:sz w:val="30"/>
        </w:rPr>
        <w:t>In the scenarios of Protein G and TRP Cage, TRP residue tends to be buried due to its hydrophobic nature. Consequently, it exhibits lower exposure to solvent, resulting in significantly reduced SASA values.</w:t>
      </w:r>
    </w:p>
    <w:sectPr w:rsidR="00313566" w:rsidRPr="00855008">
      <w:pgSz w:w="11910" w:h="16840"/>
      <w:pgMar w:top="1580" w:right="1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6A74"/>
    <w:multiLevelType w:val="hybridMultilevel"/>
    <w:tmpl w:val="551A40E0"/>
    <w:lvl w:ilvl="0" w:tplc="2FF661B2">
      <w:start w:val="1"/>
      <w:numFmt w:val="decimal"/>
      <w:lvlText w:val="%1)"/>
      <w:lvlJc w:val="left"/>
      <w:pPr>
        <w:ind w:left="826" w:hanging="39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68EBBA0">
      <w:numFmt w:val="bullet"/>
      <w:lvlText w:val="•"/>
      <w:lvlJc w:val="left"/>
      <w:pPr>
        <w:ind w:left="1706" w:hanging="394"/>
      </w:pPr>
      <w:rPr>
        <w:rFonts w:hint="default"/>
        <w:lang w:val="en-US" w:eastAsia="en-US" w:bidi="ar-SA"/>
      </w:rPr>
    </w:lvl>
    <w:lvl w:ilvl="2" w:tplc="5BE6EFB8">
      <w:numFmt w:val="bullet"/>
      <w:lvlText w:val="•"/>
      <w:lvlJc w:val="left"/>
      <w:pPr>
        <w:ind w:left="2593" w:hanging="394"/>
      </w:pPr>
      <w:rPr>
        <w:rFonts w:hint="default"/>
        <w:lang w:val="en-US" w:eastAsia="en-US" w:bidi="ar-SA"/>
      </w:rPr>
    </w:lvl>
    <w:lvl w:ilvl="3" w:tplc="19565970">
      <w:numFmt w:val="bullet"/>
      <w:lvlText w:val="•"/>
      <w:lvlJc w:val="left"/>
      <w:pPr>
        <w:ind w:left="3479" w:hanging="394"/>
      </w:pPr>
      <w:rPr>
        <w:rFonts w:hint="default"/>
        <w:lang w:val="en-US" w:eastAsia="en-US" w:bidi="ar-SA"/>
      </w:rPr>
    </w:lvl>
    <w:lvl w:ilvl="4" w:tplc="73EC9830">
      <w:numFmt w:val="bullet"/>
      <w:lvlText w:val="•"/>
      <w:lvlJc w:val="left"/>
      <w:pPr>
        <w:ind w:left="4366" w:hanging="394"/>
      </w:pPr>
      <w:rPr>
        <w:rFonts w:hint="default"/>
        <w:lang w:val="en-US" w:eastAsia="en-US" w:bidi="ar-SA"/>
      </w:rPr>
    </w:lvl>
    <w:lvl w:ilvl="5" w:tplc="06425FEE">
      <w:numFmt w:val="bullet"/>
      <w:lvlText w:val="•"/>
      <w:lvlJc w:val="left"/>
      <w:pPr>
        <w:ind w:left="5253" w:hanging="394"/>
      </w:pPr>
      <w:rPr>
        <w:rFonts w:hint="default"/>
        <w:lang w:val="en-US" w:eastAsia="en-US" w:bidi="ar-SA"/>
      </w:rPr>
    </w:lvl>
    <w:lvl w:ilvl="6" w:tplc="8EE45106">
      <w:numFmt w:val="bullet"/>
      <w:lvlText w:val="•"/>
      <w:lvlJc w:val="left"/>
      <w:pPr>
        <w:ind w:left="6139" w:hanging="394"/>
      </w:pPr>
      <w:rPr>
        <w:rFonts w:hint="default"/>
        <w:lang w:val="en-US" w:eastAsia="en-US" w:bidi="ar-SA"/>
      </w:rPr>
    </w:lvl>
    <w:lvl w:ilvl="7" w:tplc="D0B2CF12">
      <w:numFmt w:val="bullet"/>
      <w:lvlText w:val="•"/>
      <w:lvlJc w:val="left"/>
      <w:pPr>
        <w:ind w:left="7026" w:hanging="394"/>
      </w:pPr>
      <w:rPr>
        <w:rFonts w:hint="default"/>
        <w:lang w:val="en-US" w:eastAsia="en-US" w:bidi="ar-SA"/>
      </w:rPr>
    </w:lvl>
    <w:lvl w:ilvl="8" w:tplc="9F10B6E2">
      <w:numFmt w:val="bullet"/>
      <w:lvlText w:val="•"/>
      <w:lvlJc w:val="left"/>
      <w:pPr>
        <w:ind w:left="7912" w:hanging="394"/>
      </w:pPr>
      <w:rPr>
        <w:rFonts w:hint="default"/>
        <w:lang w:val="en-US" w:eastAsia="en-US" w:bidi="ar-SA"/>
      </w:rPr>
    </w:lvl>
  </w:abstractNum>
  <w:num w:numId="1" w16cid:durableId="60774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566"/>
    <w:rsid w:val="00261B73"/>
    <w:rsid w:val="00313566"/>
    <w:rsid w:val="00807A05"/>
    <w:rsid w:val="00855008"/>
    <w:rsid w:val="008656F7"/>
    <w:rsid w:val="008B5A6E"/>
    <w:rsid w:val="00922962"/>
    <w:rsid w:val="00C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6CEB"/>
  <w15:docId w15:val="{C446FF1A-F309-4DBC-8431-3A442B5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"/>
      <w:ind w:left="3751" w:right="35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6" w:hanging="7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KUMAR</cp:lastModifiedBy>
  <cp:revision>7</cp:revision>
  <dcterms:created xsi:type="dcterms:W3CDTF">2024-02-18T18:58:00Z</dcterms:created>
  <dcterms:modified xsi:type="dcterms:W3CDTF">2024-02-18T19:21:00Z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2024-02-14T00:00:00Z</vt:filetime>
  </property>
</Properties>
</file>