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355" w:rsidRPr="00BF5355" w:rsidRDefault="00BF5355" w:rsidP="00BF5355">
      <w:pPr>
        <w:rPr>
          <w:rFonts w:hint="eastAsia"/>
          <w:b/>
          <w:bdr w:val="single" w:sz="4" w:space="0" w:color="auto"/>
          <w:lang w:val="fr-CA"/>
        </w:rPr>
      </w:pPr>
      <w:r w:rsidRPr="00BF5355">
        <w:rPr>
          <w:rFonts w:hint="eastAsia"/>
          <w:b/>
          <w:bdr w:val="single" w:sz="4" w:space="0" w:color="auto"/>
          <w:lang w:val="fr-CA"/>
        </w:rPr>
        <w:t>P1</w:t>
      </w:r>
    </w:p>
    <w:p w:rsidR="00BF5355" w:rsidRPr="00BF5355" w:rsidRDefault="00BF5355" w:rsidP="00BF5355">
      <w:pPr>
        <w:rPr>
          <w:lang w:val="fr-CA"/>
        </w:rPr>
      </w:pPr>
      <w:r w:rsidRPr="00BF5355">
        <w:rPr>
          <w:lang w:val="fr-CA"/>
        </w:rPr>
        <w:t xml:space="preserve">Messieurs-dames, bonjour. Aujourd’hui nous vous présentons le RNC, le résultat net comptable. Ce chiffre est très important pour gérer une entreprise. </w:t>
      </w:r>
    </w:p>
    <w:p w:rsidR="00266C95" w:rsidRPr="00BF5355" w:rsidRDefault="00BF5355">
      <w:pPr>
        <w:rPr>
          <w:b/>
          <w:bdr w:val="single" w:sz="4" w:space="0" w:color="auto"/>
          <w:lang w:val="fr-CA"/>
        </w:rPr>
      </w:pPr>
      <w:r w:rsidRPr="00BF5355">
        <w:rPr>
          <w:rFonts w:hint="eastAsia"/>
          <w:b/>
          <w:bdr w:val="single" w:sz="4" w:space="0" w:color="auto"/>
          <w:lang w:val="fr-CA"/>
        </w:rPr>
        <w:t>P2</w:t>
      </w:r>
    </w:p>
    <w:p w:rsidR="00BF5355" w:rsidRPr="00BF5355" w:rsidRDefault="00BF5355" w:rsidP="00BF5355">
      <w:pPr>
        <w:rPr>
          <w:lang w:val="fr-CA"/>
        </w:rPr>
      </w:pPr>
      <w:r w:rsidRPr="00BF5355">
        <w:rPr>
          <w:lang w:val="fr-CA"/>
        </w:rPr>
        <w:t xml:space="preserve">En comptabilité, le résultat net d'une entreprise est égal à la différence constatée, sur une période déterminée, entre les produits et les charges. Si le nombre est négatif, l’entreprise reçoit les pertes. </w:t>
      </w:r>
    </w:p>
    <w:p w:rsidR="00BF5355" w:rsidRPr="00BF5355" w:rsidRDefault="00BF5355">
      <w:pPr>
        <w:rPr>
          <w:b/>
          <w:bdr w:val="single" w:sz="4" w:space="0" w:color="auto"/>
          <w:lang w:val="fr-CA"/>
        </w:rPr>
      </w:pPr>
      <w:r w:rsidRPr="00BF5355">
        <w:rPr>
          <w:rFonts w:hint="eastAsia"/>
          <w:b/>
          <w:bdr w:val="single" w:sz="4" w:space="0" w:color="auto"/>
          <w:lang w:val="fr-CA"/>
        </w:rPr>
        <w:t>P3</w:t>
      </w:r>
    </w:p>
    <w:p w:rsidR="00BF5355" w:rsidRPr="00BF5355" w:rsidRDefault="00BF5355" w:rsidP="00BF5355">
      <w:pPr>
        <w:rPr>
          <w:lang w:val="fr-CA"/>
        </w:rPr>
      </w:pPr>
      <w:r w:rsidRPr="00BF5355">
        <w:rPr>
          <w:lang w:val="fr-CA"/>
        </w:rPr>
        <w:t>Que fait la société avec son RNC? Alors, soit elle distribue les dividendes aux ses actionnaires, soit elle le mit en réserve pour mieux développer la société.</w:t>
      </w:r>
    </w:p>
    <w:p w:rsidR="00BF5355" w:rsidRPr="00BF5355" w:rsidRDefault="00BF5355">
      <w:pPr>
        <w:rPr>
          <w:b/>
          <w:bdr w:val="single" w:sz="4" w:space="0" w:color="auto"/>
          <w:lang w:val="fr-CA"/>
        </w:rPr>
      </w:pPr>
      <w:r w:rsidRPr="00BF5355">
        <w:rPr>
          <w:rFonts w:hint="eastAsia"/>
          <w:b/>
          <w:bdr w:val="single" w:sz="4" w:space="0" w:color="auto"/>
          <w:lang w:val="fr-CA"/>
        </w:rPr>
        <w:t>P4</w:t>
      </w:r>
    </w:p>
    <w:p w:rsidR="00BF5355" w:rsidRPr="00BF5355" w:rsidRDefault="00BF5355" w:rsidP="00BF5355">
      <w:pPr>
        <w:rPr>
          <w:lang w:val="fr-CA"/>
        </w:rPr>
      </w:pPr>
      <w:r w:rsidRPr="00BF5355">
        <w:rPr>
          <w:lang w:val="fr-CA"/>
        </w:rPr>
        <w:t>Le RNC est une base pour calculer d’autres indicateurs utiles, par exemple, la capacité d’autofinancement, le bénéfice par action, ou le montant de dividende.</w:t>
      </w:r>
    </w:p>
    <w:p w:rsidR="00BF5355" w:rsidRPr="00BF5355" w:rsidRDefault="00BF5355">
      <w:pPr>
        <w:rPr>
          <w:b/>
          <w:bdr w:val="single" w:sz="4" w:space="0" w:color="auto"/>
          <w:lang w:val="fr-CA"/>
        </w:rPr>
      </w:pPr>
      <w:r w:rsidRPr="00BF5355">
        <w:rPr>
          <w:rFonts w:hint="eastAsia"/>
          <w:b/>
          <w:bdr w:val="single" w:sz="4" w:space="0" w:color="auto"/>
          <w:lang w:val="fr-CA"/>
        </w:rPr>
        <w:t>P5</w:t>
      </w:r>
    </w:p>
    <w:p w:rsidR="00BF5355" w:rsidRPr="00BF5355" w:rsidRDefault="00BF5355" w:rsidP="00BF5355">
      <w:r w:rsidRPr="00BF5355">
        <w:rPr>
          <w:lang w:val="fr-CA"/>
        </w:rPr>
        <w:t>On dit que le RNC est un chiffre clé pour analyser et gérer une banque. Veuillez voir quelques analyses du cas des banques commerciales.</w:t>
      </w:r>
    </w:p>
    <w:p w:rsidR="00BF5355" w:rsidRPr="00BF5355" w:rsidRDefault="00BF5355">
      <w:pPr>
        <w:rPr>
          <w:b/>
          <w:bdr w:val="single" w:sz="4" w:space="0" w:color="auto"/>
          <w:lang w:val="fr-CA"/>
        </w:rPr>
      </w:pPr>
      <w:r w:rsidRPr="00BF5355">
        <w:rPr>
          <w:rFonts w:hint="eastAsia"/>
          <w:b/>
          <w:bdr w:val="single" w:sz="4" w:space="0" w:color="auto"/>
          <w:lang w:val="fr-CA"/>
        </w:rPr>
        <w:t>P6</w:t>
      </w:r>
    </w:p>
    <w:p w:rsidR="00BF5355" w:rsidRPr="00BF5355" w:rsidRDefault="00BF5355" w:rsidP="00BF5355">
      <w:pPr>
        <w:rPr>
          <w:lang w:val="fr-CA"/>
        </w:rPr>
      </w:pPr>
      <w:r w:rsidRPr="00BF5355">
        <w:rPr>
          <w:lang w:val="fr-FR"/>
        </w:rPr>
        <w:t>Au tour début, on commence par le cas BNP Paribas.</w:t>
      </w:r>
    </w:p>
    <w:p w:rsidR="00BF5355" w:rsidRPr="00BF5355" w:rsidRDefault="00BF5355">
      <w:pPr>
        <w:rPr>
          <w:b/>
          <w:bdr w:val="single" w:sz="4" w:space="0" w:color="auto"/>
          <w:lang w:val="fr-CA"/>
        </w:rPr>
      </w:pPr>
      <w:r w:rsidRPr="00BF5355">
        <w:rPr>
          <w:rFonts w:hint="eastAsia"/>
          <w:b/>
          <w:bdr w:val="single" w:sz="4" w:space="0" w:color="auto"/>
          <w:lang w:val="fr-CA"/>
        </w:rPr>
        <w:t>P7</w:t>
      </w:r>
    </w:p>
    <w:p w:rsidR="00BF5355" w:rsidRPr="00BF5355" w:rsidRDefault="00BF5355" w:rsidP="00BF5355">
      <w:pPr>
        <w:rPr>
          <w:lang w:val="fr-CA"/>
        </w:rPr>
      </w:pPr>
      <w:r w:rsidRPr="00BF5355">
        <w:rPr>
          <w:lang w:val="fr-CA"/>
        </w:rPr>
        <w:t xml:space="preserve">Voici le tableau qui présente le </w:t>
      </w:r>
      <w:r w:rsidRPr="00BF5355">
        <w:rPr>
          <w:lang w:val="fr-FR"/>
        </w:rPr>
        <w:t>résultat de BNP pendent les 5 dernières année</w:t>
      </w:r>
      <w:r w:rsidRPr="00BF5355">
        <w:rPr>
          <w:lang w:val="fr-CA"/>
        </w:rPr>
        <w:t xml:space="preserve">s. On peut constater que BNP a réalisé une performance stable sur le produit net bancaire et le </w:t>
      </w:r>
      <w:r w:rsidRPr="00BF5355">
        <w:rPr>
          <w:lang w:val="fr-FR"/>
        </w:rPr>
        <w:t xml:space="preserve">résultat brut d’exploitation. Pourtant, le résultat net </w:t>
      </w:r>
      <w:proofErr w:type="spellStart"/>
      <w:r w:rsidRPr="00BF5355">
        <w:rPr>
          <w:lang w:val="fr-FR"/>
        </w:rPr>
        <w:t>par</w:t>
      </w:r>
      <w:proofErr w:type="spellEnd"/>
      <w:r w:rsidRPr="00BF5355">
        <w:rPr>
          <w:lang w:val="fr-FR"/>
        </w:rPr>
        <w:t xml:space="preserve"> du groupe est en baisse de 97% par rapport </w:t>
      </w:r>
      <w:r w:rsidRPr="00BF5355">
        <w:rPr>
          <w:lang w:val="fr-CA"/>
        </w:rPr>
        <w:t>à celui en 2013. Par conséquent, nous avons envie de trouver les affaires qui ont eu lieu en 2014 et qui ont eu un effet sur le compte de résultat.</w:t>
      </w:r>
    </w:p>
    <w:p w:rsidR="00BF5355" w:rsidRPr="00BF5355" w:rsidRDefault="00BF5355">
      <w:pPr>
        <w:rPr>
          <w:b/>
          <w:bdr w:val="single" w:sz="4" w:space="0" w:color="auto"/>
          <w:lang w:val="fr-CA"/>
        </w:rPr>
      </w:pPr>
      <w:r w:rsidRPr="00BF5355">
        <w:rPr>
          <w:rFonts w:hint="eastAsia"/>
          <w:b/>
          <w:bdr w:val="single" w:sz="4" w:space="0" w:color="auto"/>
          <w:lang w:val="fr-CA"/>
        </w:rPr>
        <w:t>P8</w:t>
      </w:r>
    </w:p>
    <w:p w:rsidR="00BF5355" w:rsidRPr="00BF5355" w:rsidRDefault="00BF5355" w:rsidP="00BF5355">
      <w:pPr>
        <w:rPr>
          <w:lang w:val="fr-CA"/>
        </w:rPr>
      </w:pPr>
      <w:r w:rsidRPr="00BF5355">
        <w:rPr>
          <w:lang w:val="fr-CA"/>
        </w:rPr>
        <w:t xml:space="preserve">Nous avons trouvé que la BNP a payé une amende de près de 9 milliards de dollars aux États-Unis. Il s'agit de la plus forte amende jamais payée par une banque étrangère aux États-Unis: 8,97 milliards de dollars.  </w:t>
      </w:r>
    </w:p>
    <w:p w:rsidR="00BF5355" w:rsidRPr="00BF5355" w:rsidRDefault="00BF5355">
      <w:pPr>
        <w:rPr>
          <w:b/>
          <w:bdr w:val="single" w:sz="4" w:space="0" w:color="auto"/>
          <w:lang w:val="fr-CA"/>
        </w:rPr>
      </w:pPr>
      <w:r w:rsidRPr="00BF5355">
        <w:rPr>
          <w:rFonts w:hint="eastAsia"/>
          <w:b/>
          <w:bdr w:val="single" w:sz="4" w:space="0" w:color="auto"/>
          <w:lang w:val="fr-CA"/>
        </w:rPr>
        <w:t>P9</w:t>
      </w:r>
    </w:p>
    <w:p w:rsidR="00BF5355" w:rsidRPr="00BF5355" w:rsidRDefault="00BF5355" w:rsidP="00BF5355">
      <w:pPr>
        <w:rPr>
          <w:lang w:val="fr-CA"/>
        </w:rPr>
      </w:pPr>
      <w:r w:rsidRPr="00BF5355">
        <w:rPr>
          <w:lang w:val="fr-CA"/>
        </w:rPr>
        <w:t>BNP supporte une charge de 5 milliards de dollars qui représente sa quote-part dans l’amende totale de 9 milliards de dollars payée. Heureusement, grâce à la provision de 0,8 milliard de dollars au 2013, BNP a pu dégager un bénéfice en 2014 en dépit de son amende. Cependant, le somme de l’amende est si important que le résultat en 2014 a baissé 97%.</w:t>
      </w:r>
    </w:p>
    <w:p w:rsidR="00BF5355" w:rsidRPr="00BF5355" w:rsidRDefault="00BF5355">
      <w:pPr>
        <w:rPr>
          <w:b/>
          <w:bdr w:val="single" w:sz="4" w:space="0" w:color="auto"/>
          <w:lang w:val="fr-CA"/>
        </w:rPr>
      </w:pPr>
      <w:r w:rsidRPr="00BF5355">
        <w:rPr>
          <w:rFonts w:hint="eastAsia"/>
          <w:b/>
          <w:bdr w:val="single" w:sz="4" w:space="0" w:color="auto"/>
          <w:lang w:val="fr-CA"/>
        </w:rPr>
        <w:t>P10</w:t>
      </w:r>
    </w:p>
    <w:p w:rsidR="00BF5355" w:rsidRPr="00BF5355" w:rsidRDefault="00BF5355" w:rsidP="00BF5355">
      <w:pPr>
        <w:rPr>
          <w:lang w:val="fr-CA"/>
        </w:rPr>
      </w:pPr>
      <w:r w:rsidRPr="00BF5355">
        <w:rPr>
          <w:lang w:val="fr-CA"/>
        </w:rPr>
        <w:t>Dans ce cas nous pouvons remarquer l’importance de respecter la règlementation.</w:t>
      </w:r>
      <w:r w:rsidRPr="00BF5355">
        <w:rPr>
          <w:lang w:val="fr-FR"/>
        </w:rPr>
        <w:t xml:space="preserve"> En cas de non-conformité avec les lois, la banque peut être exposée à des amendes significatives et d’autres sanctions pénales.</w:t>
      </w:r>
      <w:r w:rsidRPr="00BF5355">
        <w:rPr>
          <w:lang w:val="fr-CA"/>
        </w:rPr>
        <w:t xml:space="preserve"> Et au certain égard, le changement de la réglementation peut modifier le comportement de la banque. Par exemple, le renforcement des exigences de contrôle interne et de transparence quant aux certaines activités, etc. Ça peu</w:t>
      </w:r>
      <w:r>
        <w:rPr>
          <w:lang w:val="fr-CA"/>
        </w:rPr>
        <w:t>t avoir une influence sur les opérations</w:t>
      </w:r>
      <w:r w:rsidRPr="00BF5355">
        <w:rPr>
          <w:lang w:val="fr-FR"/>
        </w:rPr>
        <w:t xml:space="preserve"> de la banque.</w:t>
      </w:r>
    </w:p>
    <w:p w:rsidR="00BF5355" w:rsidRPr="00BF5355" w:rsidRDefault="00BF5355">
      <w:pPr>
        <w:rPr>
          <w:b/>
          <w:bdr w:val="single" w:sz="4" w:space="0" w:color="auto"/>
          <w:lang w:val="fr-CA"/>
        </w:rPr>
      </w:pPr>
      <w:r w:rsidRPr="00BF5355">
        <w:rPr>
          <w:rFonts w:hint="eastAsia"/>
          <w:b/>
          <w:bdr w:val="single" w:sz="4" w:space="0" w:color="auto"/>
          <w:lang w:val="fr-CA"/>
        </w:rPr>
        <w:t>P11</w:t>
      </w:r>
    </w:p>
    <w:p w:rsidR="00000000" w:rsidRPr="00BF5355" w:rsidRDefault="00BF5355" w:rsidP="00BF5355">
      <w:pPr>
        <w:rPr>
          <w:lang w:val="fr-CA"/>
        </w:rPr>
      </w:pPr>
      <w:r w:rsidRPr="00BF5355">
        <w:rPr>
          <w:lang w:val="fr-CA"/>
        </w:rPr>
        <w:t>Comment BNP peut se débrouiller au milieu des difficultés?</w:t>
      </w:r>
    </w:p>
    <w:p w:rsidR="00000000" w:rsidRPr="00BF5355" w:rsidRDefault="00BF5355" w:rsidP="00BF5355">
      <w:pPr>
        <w:numPr>
          <w:ilvl w:val="0"/>
          <w:numId w:val="3"/>
        </w:numPr>
        <w:rPr>
          <w:lang w:val="fr-CA"/>
        </w:rPr>
      </w:pPr>
      <w:r w:rsidRPr="00BF5355">
        <w:rPr>
          <w:lang w:val="fr-FR"/>
        </w:rPr>
        <w:t xml:space="preserve">BNP doit reconnaître sa responsabilité pour avoir enfreint certaines réglementations </w:t>
      </w:r>
    </w:p>
    <w:p w:rsidR="00000000" w:rsidRPr="00BF5355" w:rsidRDefault="00BF5355" w:rsidP="00BF5355">
      <w:pPr>
        <w:numPr>
          <w:ilvl w:val="0"/>
          <w:numId w:val="3"/>
        </w:numPr>
        <w:rPr>
          <w:lang w:val="fr-CA"/>
        </w:rPr>
      </w:pPr>
      <w:r w:rsidRPr="00BF5355">
        <w:rPr>
          <w:lang w:val="fr-FR"/>
        </w:rPr>
        <w:t xml:space="preserve">Elle doit payer l’amende, s'engager dans les affaires conformément aux lois, afin de </w:t>
      </w:r>
      <w:r w:rsidRPr="00BF5355">
        <w:rPr>
          <w:lang w:val="fr-FR"/>
        </w:rPr>
        <w:lastRenderedPageBreak/>
        <w:t>restaurer la réputation.</w:t>
      </w:r>
    </w:p>
    <w:p w:rsidR="00000000" w:rsidRPr="00BF5355" w:rsidRDefault="00BF5355" w:rsidP="00BF5355">
      <w:pPr>
        <w:numPr>
          <w:ilvl w:val="0"/>
          <w:numId w:val="3"/>
        </w:numPr>
        <w:rPr>
          <w:lang w:val="fr-CA"/>
        </w:rPr>
      </w:pPr>
      <w:r w:rsidRPr="00BF5355">
        <w:rPr>
          <w:lang w:val="fr-FR"/>
        </w:rPr>
        <w:t xml:space="preserve">Elle doit </w:t>
      </w:r>
      <w:r w:rsidRPr="00BF5355">
        <w:rPr>
          <w:lang w:val="fr-CA"/>
        </w:rPr>
        <w:t>renforcer la dynamique commerciale en proposant de nouvelles expériences clientes.</w:t>
      </w:r>
    </w:p>
    <w:p w:rsidR="00BF5355" w:rsidRPr="00BF5355" w:rsidRDefault="00BF5355">
      <w:pPr>
        <w:rPr>
          <w:b/>
          <w:bdr w:val="single" w:sz="4" w:space="0" w:color="auto"/>
          <w:lang w:val="fr-CA"/>
        </w:rPr>
      </w:pPr>
      <w:r w:rsidRPr="00BF5355">
        <w:rPr>
          <w:rFonts w:hint="eastAsia"/>
          <w:b/>
          <w:bdr w:val="single" w:sz="4" w:space="0" w:color="auto"/>
          <w:lang w:val="fr-CA"/>
        </w:rPr>
        <w:t>P12</w:t>
      </w:r>
    </w:p>
    <w:p w:rsidR="00BF5355" w:rsidRPr="00BF5355" w:rsidRDefault="00BF5355" w:rsidP="00BF5355">
      <w:pPr>
        <w:rPr>
          <w:lang w:val="fr-CA"/>
        </w:rPr>
      </w:pPr>
      <w:r w:rsidRPr="00BF5355">
        <w:rPr>
          <w:lang w:val="fr-FR"/>
        </w:rPr>
        <w:t xml:space="preserve">On prend le deuxième cas Deutsche Bank, la première banque allemande, a une énorme perte nette de 6,7 milliards d'euros pour l'année 2015 à cause de 12 milliards de charges, face à ses nombreux litiges. </w:t>
      </w:r>
    </w:p>
    <w:p w:rsidR="00BF5355" w:rsidRPr="00BF5355" w:rsidRDefault="00BF5355">
      <w:pPr>
        <w:rPr>
          <w:b/>
          <w:bdr w:val="single" w:sz="4" w:space="0" w:color="auto"/>
          <w:lang w:val="fr-CA"/>
        </w:rPr>
      </w:pPr>
      <w:r w:rsidRPr="00BF5355">
        <w:rPr>
          <w:rFonts w:hint="eastAsia"/>
          <w:b/>
          <w:bdr w:val="single" w:sz="4" w:space="0" w:color="auto"/>
          <w:lang w:val="fr-CA"/>
        </w:rPr>
        <w:t>P13</w:t>
      </w:r>
    </w:p>
    <w:p w:rsidR="00BF5355" w:rsidRPr="00BF5355" w:rsidRDefault="00BF5355" w:rsidP="00BF5355">
      <w:pPr>
        <w:rPr>
          <w:lang w:val="fr-CA"/>
        </w:rPr>
      </w:pPr>
      <w:r w:rsidRPr="00BF5355">
        <w:rPr>
          <w:lang w:val="fr-FR"/>
        </w:rPr>
        <w:t xml:space="preserve">Les charges exceptionnelles incluent, des dépréciations, des frais de restructurations, et indemnités de départ. </w:t>
      </w:r>
    </w:p>
    <w:p w:rsidR="00BF5355" w:rsidRPr="00BF5355" w:rsidRDefault="00BF5355">
      <w:pPr>
        <w:rPr>
          <w:b/>
          <w:bdr w:val="single" w:sz="4" w:space="0" w:color="auto"/>
          <w:lang w:val="fr-CA"/>
        </w:rPr>
      </w:pPr>
      <w:r w:rsidRPr="00BF5355">
        <w:rPr>
          <w:rFonts w:hint="eastAsia"/>
          <w:b/>
          <w:bdr w:val="single" w:sz="4" w:space="0" w:color="auto"/>
          <w:lang w:val="fr-CA"/>
        </w:rPr>
        <w:t>P14</w:t>
      </w:r>
    </w:p>
    <w:p w:rsidR="00BF5355" w:rsidRPr="00BF5355" w:rsidRDefault="00BF5355" w:rsidP="00BF5355">
      <w:pPr>
        <w:rPr>
          <w:lang w:val="fr-CA"/>
        </w:rPr>
      </w:pPr>
      <w:r w:rsidRPr="00BF5355">
        <w:rPr>
          <w:lang w:val="fr-FR"/>
        </w:rPr>
        <w:t>La banque avait déjà passé une partie de ces coûts tout au long de l'année, notamment de lourdes dépréciations au troisième trimestre, mais le dernier trimestre a lui apporté des mauvaises surprises, avec de nouvelles provisions pour litiges de 1,2 milliard d'euros. Le seul quatrième trimestre affiche ainsi une perte nette d'environ 2,1 milliards d'euros.</w:t>
      </w:r>
    </w:p>
    <w:p w:rsidR="00BF5355" w:rsidRPr="00BF5355" w:rsidRDefault="00BF5355">
      <w:pPr>
        <w:rPr>
          <w:b/>
          <w:bdr w:val="single" w:sz="4" w:space="0" w:color="auto"/>
          <w:lang w:val="fr-CA"/>
        </w:rPr>
      </w:pPr>
      <w:r w:rsidRPr="00BF5355">
        <w:rPr>
          <w:rFonts w:hint="eastAsia"/>
          <w:b/>
          <w:bdr w:val="single" w:sz="4" w:space="0" w:color="auto"/>
          <w:lang w:val="fr-CA"/>
        </w:rPr>
        <w:t>P15</w:t>
      </w:r>
    </w:p>
    <w:p w:rsidR="00000000" w:rsidRPr="00BF5355" w:rsidRDefault="00BF5355" w:rsidP="00BF5355">
      <w:pPr>
        <w:rPr>
          <w:lang w:val="fr-CA"/>
        </w:rPr>
      </w:pPr>
      <w:r w:rsidRPr="00BF5355">
        <w:rPr>
          <w:b/>
          <w:bCs/>
          <w:lang w:val="fr-FR"/>
        </w:rPr>
        <w:t>Pourquoi il y cette perte ?</w:t>
      </w:r>
    </w:p>
    <w:p w:rsidR="00000000" w:rsidRPr="00BF5355" w:rsidRDefault="00BF5355" w:rsidP="00BF5355">
      <w:pPr>
        <w:numPr>
          <w:ilvl w:val="0"/>
          <w:numId w:val="2"/>
        </w:numPr>
      </w:pPr>
      <w:r w:rsidRPr="00BF5355">
        <w:rPr>
          <w:b/>
          <w:bCs/>
          <w:lang w:val="fr-FR"/>
        </w:rPr>
        <w:t>Pour Externe</w:t>
      </w:r>
      <w:r w:rsidRPr="00BF5355">
        <w:rPr>
          <w:lang w:val="fr-FR"/>
        </w:rPr>
        <w:t> :</w:t>
      </w:r>
    </w:p>
    <w:p w:rsidR="00000000" w:rsidRPr="00BF5355" w:rsidRDefault="00BF5355" w:rsidP="00BF5355">
      <w:pPr>
        <w:numPr>
          <w:ilvl w:val="0"/>
          <w:numId w:val="2"/>
        </w:numPr>
        <w:rPr>
          <w:lang w:val="fr-CA"/>
        </w:rPr>
      </w:pPr>
      <w:r w:rsidRPr="00BF5355">
        <w:rPr>
          <w:lang w:val="fr-FR"/>
        </w:rPr>
        <w:t>Les conditions de marché sont compliquées, taux d'intérêt extrêmement bas et bourses en plein affolement, les affaires de la banque ne sont pas florissantes</w:t>
      </w:r>
      <w:r w:rsidRPr="00BF5355">
        <w:rPr>
          <w:lang w:val="fr-CA"/>
        </w:rPr>
        <w:t>.</w:t>
      </w:r>
    </w:p>
    <w:p w:rsidR="00000000" w:rsidRPr="00BF5355" w:rsidRDefault="00BF5355" w:rsidP="00BF5355">
      <w:pPr>
        <w:numPr>
          <w:ilvl w:val="0"/>
          <w:numId w:val="2"/>
        </w:numPr>
        <w:rPr>
          <w:lang w:val="fr-CA"/>
        </w:rPr>
      </w:pPr>
      <w:r w:rsidRPr="00BF5355">
        <w:rPr>
          <w:lang w:val="fr-FR"/>
        </w:rPr>
        <w:t>Sur l'ensemble de l'année, les provisions passées pour litiges s'élèvent à 5,2 milliards d'euros. La banque est aux prises avec 6 000 procédures juridiques, d'affaires de manipulation de taux à soupçons de blanchim</w:t>
      </w:r>
      <w:r w:rsidRPr="00BF5355">
        <w:rPr>
          <w:lang w:val="fr-FR"/>
        </w:rPr>
        <w:t>ent d'argent, et la liste ne cesse de s'allonger.</w:t>
      </w:r>
    </w:p>
    <w:p w:rsidR="00000000" w:rsidRPr="00BF5355" w:rsidRDefault="00BF5355" w:rsidP="00BF5355">
      <w:pPr>
        <w:numPr>
          <w:ilvl w:val="0"/>
          <w:numId w:val="2"/>
        </w:numPr>
      </w:pPr>
      <w:r w:rsidRPr="00BF5355">
        <w:rPr>
          <w:b/>
          <w:bCs/>
          <w:lang w:val="fr-FR"/>
        </w:rPr>
        <w:t>Pour Interne</w:t>
      </w:r>
      <w:r w:rsidRPr="00BF5355">
        <w:rPr>
          <w:lang w:val="fr-FR"/>
        </w:rPr>
        <w:t> :</w:t>
      </w:r>
    </w:p>
    <w:p w:rsidR="00000000" w:rsidRPr="00BF5355" w:rsidRDefault="00BF5355" w:rsidP="00BF5355">
      <w:pPr>
        <w:numPr>
          <w:ilvl w:val="0"/>
          <w:numId w:val="2"/>
        </w:numPr>
        <w:rPr>
          <w:lang w:val="fr-CA"/>
        </w:rPr>
      </w:pPr>
      <w:r w:rsidRPr="00BF5355">
        <w:rPr>
          <w:lang w:val="fr-FR"/>
        </w:rPr>
        <w:t xml:space="preserve">En 2013, la Deutsche Bank a investi plus de 5 400 milliards d'euros des dérivés financiers. La Système de contrôle des risques de la Deutsche Bank n’a pas de capacité de les bien contrôler. </w:t>
      </w:r>
    </w:p>
    <w:p w:rsidR="00000000" w:rsidRPr="00BF5355" w:rsidRDefault="00BF5355" w:rsidP="00BF5355">
      <w:pPr>
        <w:numPr>
          <w:ilvl w:val="0"/>
          <w:numId w:val="2"/>
        </w:numPr>
        <w:rPr>
          <w:lang w:val="fr-CA"/>
        </w:rPr>
      </w:pPr>
      <w:r w:rsidRPr="00BF5355">
        <w:rPr>
          <w:lang w:val="fr-FR"/>
        </w:rPr>
        <w:t>Dans les résultats d’une stresse test des banques européennes. La Deutsche Bank a eu la plus faible performance. Son</w:t>
      </w:r>
      <w:r w:rsidRPr="00BF5355">
        <w:rPr>
          <w:lang w:val="fr-FR"/>
        </w:rPr>
        <w:t xml:space="preserve"> besoin est de 19 milliards de plus, mais son capital n’est que de 17 milliards.</w:t>
      </w:r>
    </w:p>
    <w:p w:rsidR="00BF5355" w:rsidRPr="00BF5355" w:rsidRDefault="00BF5355">
      <w:pPr>
        <w:rPr>
          <w:b/>
          <w:bdr w:val="single" w:sz="4" w:space="0" w:color="auto"/>
          <w:lang w:val="fr-CA"/>
        </w:rPr>
      </w:pPr>
      <w:r w:rsidRPr="00BF5355">
        <w:rPr>
          <w:rFonts w:hint="eastAsia"/>
          <w:b/>
          <w:bdr w:val="single" w:sz="4" w:space="0" w:color="auto"/>
          <w:lang w:val="fr-CA"/>
        </w:rPr>
        <w:t>P16</w:t>
      </w:r>
    </w:p>
    <w:p w:rsidR="00BF5355" w:rsidRPr="00BF5355" w:rsidRDefault="00BF5355" w:rsidP="00BF5355">
      <w:pPr>
        <w:rPr>
          <w:lang w:val="fr-CA"/>
        </w:rPr>
      </w:pPr>
      <w:r w:rsidRPr="00BF5355">
        <w:rPr>
          <w:lang w:val="fr-FR"/>
        </w:rPr>
        <w:t>Le résultat net comptable des banques est généralement exprimée en fonction des déterminants internes et externes. Les déterminants internes proviennent de comptes bancaires. Les déterminants externes sont des variables qui ne sont pas liées à la gestion bancaire mais reflètent l'environnement économique et juridique qui affecte le fonctionnement et la performance des institutions financières.</w:t>
      </w:r>
    </w:p>
    <w:p w:rsidR="00BF5355" w:rsidRPr="00BF5355" w:rsidRDefault="00BF5355">
      <w:pPr>
        <w:rPr>
          <w:b/>
          <w:bdr w:val="single" w:sz="4" w:space="0" w:color="auto"/>
          <w:lang w:val="fr-CA"/>
        </w:rPr>
      </w:pPr>
      <w:r w:rsidRPr="00BF5355">
        <w:rPr>
          <w:rFonts w:hint="eastAsia"/>
          <w:b/>
          <w:bdr w:val="single" w:sz="4" w:space="0" w:color="auto"/>
          <w:lang w:val="fr-CA"/>
        </w:rPr>
        <w:t>P17</w:t>
      </w:r>
    </w:p>
    <w:p w:rsidR="00BF5355" w:rsidRPr="00BF5355" w:rsidRDefault="00BF5355" w:rsidP="00BF5355">
      <w:pPr>
        <w:rPr>
          <w:lang w:val="fr-CA"/>
        </w:rPr>
      </w:pPr>
      <w:r w:rsidRPr="00BF5355">
        <w:rPr>
          <w:lang w:val="fr-FR"/>
        </w:rPr>
        <w:t>Par exemple, la taille plus grande implique les fonds propres le plus abondant d'une banque. E</w:t>
      </w:r>
      <w:r>
        <w:rPr>
          <w:lang w:val="fr-FR"/>
        </w:rPr>
        <w:t>lle attire plus de client et reçoit</w:t>
      </w:r>
      <w:r w:rsidRPr="00BF5355">
        <w:rPr>
          <w:lang w:val="fr-FR"/>
        </w:rPr>
        <w:t xml:space="preserve"> plus de marge d’intérêt.</w:t>
      </w:r>
      <w:r w:rsidRPr="00BF5355">
        <w:rPr>
          <w:lang w:val="fr-CA"/>
        </w:rPr>
        <w:t xml:space="preserve"> </w:t>
      </w:r>
      <w:r w:rsidRPr="00BF5355">
        <w:rPr>
          <w:lang w:val="fr-FR"/>
        </w:rPr>
        <w:t>Et le besoin de gestion des risques dans le secteur bancaire est inhérent à la nature de l'activité bancaire. La mauvaise qualité des actifs et la faiblesse des liquidités sont les deux principales causes des faillites bancaires.</w:t>
      </w:r>
    </w:p>
    <w:p w:rsidR="00BF5355" w:rsidRPr="00BF5355" w:rsidRDefault="00BF5355">
      <w:pPr>
        <w:rPr>
          <w:b/>
          <w:bdr w:val="single" w:sz="4" w:space="0" w:color="auto"/>
          <w:lang w:val="fr-CA"/>
        </w:rPr>
      </w:pPr>
      <w:r w:rsidRPr="00BF5355">
        <w:rPr>
          <w:rFonts w:hint="eastAsia"/>
          <w:b/>
          <w:bdr w:val="single" w:sz="4" w:space="0" w:color="auto"/>
          <w:lang w:val="fr-CA"/>
        </w:rPr>
        <w:t>P18</w:t>
      </w:r>
    </w:p>
    <w:p w:rsidR="00BF5355" w:rsidRPr="00BF5355" w:rsidRDefault="00BF5355" w:rsidP="00BF5355">
      <w:pPr>
        <w:rPr>
          <w:lang w:val="fr-CA"/>
        </w:rPr>
      </w:pPr>
      <w:r w:rsidRPr="00BF5355">
        <w:rPr>
          <w:lang w:val="fr-FR"/>
        </w:rPr>
        <w:t xml:space="preserve">En ce qui concerne les déterminants externes du résultat net comptable de banque, la </w:t>
      </w:r>
      <w:r w:rsidRPr="00BF5355">
        <w:rPr>
          <w:lang w:val="fr-FR"/>
        </w:rPr>
        <w:lastRenderedPageBreak/>
        <w:t>surveillance du capital des autorités de régulation conduira inévitablement à la contraction du crédit en période de ralentissement économique. Comme un intermédiaire du financement, les activités bancaires sont étroitement liées au cycle économique.</w:t>
      </w:r>
    </w:p>
    <w:p w:rsidR="00BF5355" w:rsidRPr="00BF5355" w:rsidRDefault="00BF5355">
      <w:pPr>
        <w:rPr>
          <w:b/>
          <w:bdr w:val="single" w:sz="4" w:space="0" w:color="auto"/>
          <w:lang w:val="fr-CA"/>
        </w:rPr>
      </w:pPr>
      <w:r w:rsidRPr="00BF5355">
        <w:rPr>
          <w:rFonts w:hint="eastAsia"/>
          <w:b/>
          <w:bdr w:val="single" w:sz="4" w:space="0" w:color="auto"/>
          <w:lang w:val="fr-CA"/>
        </w:rPr>
        <w:t>P19</w:t>
      </w:r>
      <w:bookmarkStart w:id="0" w:name="_GoBack"/>
      <w:bookmarkEnd w:id="0"/>
    </w:p>
    <w:p w:rsidR="00BF5355" w:rsidRPr="00BF5355" w:rsidRDefault="00BF5355" w:rsidP="00BF5355">
      <w:pPr>
        <w:rPr>
          <w:lang w:val="fr-CA"/>
        </w:rPr>
      </w:pPr>
      <w:r w:rsidRPr="00BF5355">
        <w:rPr>
          <w:lang w:val="fr-FR"/>
        </w:rPr>
        <w:t xml:space="preserve">Comment bien fonctionne une banque, les PDG des banques connaissent mieux que nous. Ils ont un projet précis de coordonner tous les déterminants y compris ce que nous ne mentionnons. Cependant, il y a encore 2 choses sur lesquelles nous devons mettre l'accent.  </w:t>
      </w:r>
    </w:p>
    <w:p w:rsidR="00000000" w:rsidRPr="00BF5355" w:rsidRDefault="00BF5355" w:rsidP="00BF5355">
      <w:pPr>
        <w:numPr>
          <w:ilvl w:val="0"/>
          <w:numId w:val="4"/>
        </w:numPr>
        <w:rPr>
          <w:lang w:val="fr-CA"/>
        </w:rPr>
      </w:pPr>
      <w:r w:rsidRPr="00BF5355">
        <w:rPr>
          <w:lang w:val="fr-FR"/>
        </w:rPr>
        <w:t>La première chose est la satisfact</w:t>
      </w:r>
      <w:r w:rsidRPr="00BF5355">
        <w:rPr>
          <w:lang w:val="fr-FR"/>
        </w:rPr>
        <w:t>ion du client. La banque doit améliorer sans cesse la satisfaction.</w:t>
      </w:r>
      <w:r w:rsidRPr="00BF5355">
        <w:rPr>
          <w:lang w:val="fr-FR"/>
        </w:rPr>
        <w:t xml:space="preserve"> La fidélité du client est le but de cette surveillance. </w:t>
      </w:r>
    </w:p>
    <w:p w:rsidR="00000000" w:rsidRPr="00BF5355" w:rsidRDefault="00BF5355" w:rsidP="00BF5355">
      <w:pPr>
        <w:numPr>
          <w:ilvl w:val="0"/>
          <w:numId w:val="4"/>
        </w:numPr>
        <w:rPr>
          <w:lang w:val="fr-CA"/>
        </w:rPr>
      </w:pPr>
      <w:r w:rsidRPr="00BF5355">
        <w:rPr>
          <w:lang w:val="fr-FR"/>
        </w:rPr>
        <w:t>Le deuxième chose est la gestion des risques. Le risque de m</w:t>
      </w:r>
      <w:r w:rsidRPr="00BF5355">
        <w:rPr>
          <w:lang w:val="fr-FR"/>
        </w:rPr>
        <w:t>arché influence directement les revenues de banque. Tous les cas montrés</w:t>
      </w:r>
      <w:r w:rsidRPr="00BF5355">
        <w:rPr>
          <w:lang w:val="fr-FR"/>
        </w:rPr>
        <w:t xml:space="preserve"> avant et la série de fraudes survenues dans des institutions bancaires démontrent bien que la gestion des risques bancaires va bien au-delà des domaines des risques de crédit ou des ri</w:t>
      </w:r>
      <w:r w:rsidRPr="00BF5355">
        <w:rPr>
          <w:lang w:val="fr-FR"/>
        </w:rPr>
        <w:t>sques de marché, et nécessite la prise en compte des risques opérationnels.</w:t>
      </w:r>
    </w:p>
    <w:p w:rsidR="00BF5355" w:rsidRPr="00BF5355" w:rsidRDefault="00BF5355" w:rsidP="00BF5355">
      <w:pPr>
        <w:rPr>
          <w:b/>
          <w:bdr w:val="single" w:sz="4" w:space="0" w:color="auto"/>
          <w:lang w:val="fr-CA"/>
        </w:rPr>
      </w:pPr>
      <w:r w:rsidRPr="00BF5355">
        <w:rPr>
          <w:rFonts w:hint="eastAsia"/>
          <w:b/>
          <w:bdr w:val="single" w:sz="4" w:space="0" w:color="auto"/>
          <w:lang w:val="fr-CA"/>
        </w:rPr>
        <w:t>P20</w:t>
      </w:r>
    </w:p>
    <w:p w:rsidR="00BF5355" w:rsidRPr="00BF5355" w:rsidRDefault="00BF5355" w:rsidP="00BF5355">
      <w:pPr>
        <w:rPr>
          <w:lang w:val="fr-CA"/>
        </w:rPr>
      </w:pPr>
      <w:r w:rsidRPr="00BF5355">
        <w:rPr>
          <w:lang w:val="fr-FR"/>
        </w:rPr>
        <w:t>En général, le RNC s'agit d'un important indicateur qui donne des informations sur la performance globale d'une banque.</w:t>
      </w:r>
    </w:p>
    <w:p w:rsidR="00BF5355" w:rsidRPr="00BF5355" w:rsidRDefault="00BF5355" w:rsidP="00BF5355">
      <w:pPr>
        <w:rPr>
          <w:b/>
          <w:bdr w:val="single" w:sz="4" w:space="0" w:color="auto"/>
          <w:lang w:val="fr-CA"/>
        </w:rPr>
      </w:pPr>
      <w:r w:rsidRPr="00BF5355">
        <w:rPr>
          <w:rFonts w:hint="eastAsia"/>
          <w:b/>
          <w:bdr w:val="single" w:sz="4" w:space="0" w:color="auto"/>
          <w:lang w:val="fr-CA"/>
        </w:rPr>
        <w:t>P21</w:t>
      </w:r>
    </w:p>
    <w:p w:rsidR="00BF5355" w:rsidRPr="00BF5355" w:rsidRDefault="00BF5355" w:rsidP="00BF5355">
      <w:pPr>
        <w:rPr>
          <w:lang w:val="fr-CA"/>
        </w:rPr>
      </w:pPr>
      <w:r w:rsidRPr="00BF5355">
        <w:rPr>
          <w:lang w:val="fr-CA"/>
        </w:rPr>
        <w:t>Merci de vos écoutes.</w:t>
      </w:r>
    </w:p>
    <w:p w:rsidR="00BF5355" w:rsidRPr="00BF5355" w:rsidRDefault="00BF5355" w:rsidP="00BF5355">
      <w:pPr>
        <w:rPr>
          <w:rFonts w:hint="eastAsia"/>
          <w:lang w:val="fr-CA"/>
        </w:rPr>
      </w:pPr>
    </w:p>
    <w:p w:rsidR="00BF5355" w:rsidRPr="00BF5355" w:rsidRDefault="00BF5355">
      <w:pPr>
        <w:rPr>
          <w:rFonts w:hint="eastAsia"/>
          <w:lang w:val="fr-CA"/>
        </w:rPr>
      </w:pPr>
    </w:p>
    <w:sectPr w:rsidR="00BF5355" w:rsidRPr="00BF53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E33FB"/>
    <w:multiLevelType w:val="hybridMultilevel"/>
    <w:tmpl w:val="E4FC2F0A"/>
    <w:lvl w:ilvl="0" w:tplc="E84A1CD8">
      <w:start w:val="1"/>
      <w:numFmt w:val="bullet"/>
      <w:lvlText w:val="●"/>
      <w:lvlJc w:val="left"/>
      <w:pPr>
        <w:tabs>
          <w:tab w:val="num" w:pos="360"/>
        </w:tabs>
        <w:ind w:left="360" w:hanging="360"/>
      </w:pPr>
      <w:rPr>
        <w:rFonts w:ascii="宋体" w:hAnsi="宋体" w:hint="default"/>
      </w:rPr>
    </w:lvl>
    <w:lvl w:ilvl="1" w:tplc="D4A0B8D6" w:tentative="1">
      <w:start w:val="1"/>
      <w:numFmt w:val="bullet"/>
      <w:lvlText w:val="●"/>
      <w:lvlJc w:val="left"/>
      <w:pPr>
        <w:tabs>
          <w:tab w:val="num" w:pos="1080"/>
        </w:tabs>
        <w:ind w:left="1080" w:hanging="360"/>
      </w:pPr>
      <w:rPr>
        <w:rFonts w:ascii="宋体" w:hAnsi="宋体" w:hint="default"/>
      </w:rPr>
    </w:lvl>
    <w:lvl w:ilvl="2" w:tplc="92E4BFB8" w:tentative="1">
      <w:start w:val="1"/>
      <w:numFmt w:val="bullet"/>
      <w:lvlText w:val="●"/>
      <w:lvlJc w:val="left"/>
      <w:pPr>
        <w:tabs>
          <w:tab w:val="num" w:pos="1800"/>
        </w:tabs>
        <w:ind w:left="1800" w:hanging="360"/>
      </w:pPr>
      <w:rPr>
        <w:rFonts w:ascii="宋体" w:hAnsi="宋体" w:hint="default"/>
      </w:rPr>
    </w:lvl>
    <w:lvl w:ilvl="3" w:tplc="74B4835A" w:tentative="1">
      <w:start w:val="1"/>
      <w:numFmt w:val="bullet"/>
      <w:lvlText w:val="●"/>
      <w:lvlJc w:val="left"/>
      <w:pPr>
        <w:tabs>
          <w:tab w:val="num" w:pos="2520"/>
        </w:tabs>
        <w:ind w:left="2520" w:hanging="360"/>
      </w:pPr>
      <w:rPr>
        <w:rFonts w:ascii="宋体" w:hAnsi="宋体" w:hint="default"/>
      </w:rPr>
    </w:lvl>
    <w:lvl w:ilvl="4" w:tplc="B0BA76D4" w:tentative="1">
      <w:start w:val="1"/>
      <w:numFmt w:val="bullet"/>
      <w:lvlText w:val="●"/>
      <w:lvlJc w:val="left"/>
      <w:pPr>
        <w:tabs>
          <w:tab w:val="num" w:pos="3240"/>
        </w:tabs>
        <w:ind w:left="3240" w:hanging="360"/>
      </w:pPr>
      <w:rPr>
        <w:rFonts w:ascii="宋体" w:hAnsi="宋体" w:hint="default"/>
      </w:rPr>
    </w:lvl>
    <w:lvl w:ilvl="5" w:tplc="18B8936C" w:tentative="1">
      <w:start w:val="1"/>
      <w:numFmt w:val="bullet"/>
      <w:lvlText w:val="●"/>
      <w:lvlJc w:val="left"/>
      <w:pPr>
        <w:tabs>
          <w:tab w:val="num" w:pos="3960"/>
        </w:tabs>
        <w:ind w:left="3960" w:hanging="360"/>
      </w:pPr>
      <w:rPr>
        <w:rFonts w:ascii="宋体" w:hAnsi="宋体" w:hint="default"/>
      </w:rPr>
    </w:lvl>
    <w:lvl w:ilvl="6" w:tplc="35624512" w:tentative="1">
      <w:start w:val="1"/>
      <w:numFmt w:val="bullet"/>
      <w:lvlText w:val="●"/>
      <w:lvlJc w:val="left"/>
      <w:pPr>
        <w:tabs>
          <w:tab w:val="num" w:pos="4680"/>
        </w:tabs>
        <w:ind w:left="4680" w:hanging="360"/>
      </w:pPr>
      <w:rPr>
        <w:rFonts w:ascii="宋体" w:hAnsi="宋体" w:hint="default"/>
      </w:rPr>
    </w:lvl>
    <w:lvl w:ilvl="7" w:tplc="1BE804B4" w:tentative="1">
      <w:start w:val="1"/>
      <w:numFmt w:val="bullet"/>
      <w:lvlText w:val="●"/>
      <w:lvlJc w:val="left"/>
      <w:pPr>
        <w:tabs>
          <w:tab w:val="num" w:pos="5400"/>
        </w:tabs>
        <w:ind w:left="5400" w:hanging="360"/>
      </w:pPr>
      <w:rPr>
        <w:rFonts w:ascii="宋体" w:hAnsi="宋体" w:hint="default"/>
      </w:rPr>
    </w:lvl>
    <w:lvl w:ilvl="8" w:tplc="A850B980" w:tentative="1">
      <w:start w:val="1"/>
      <w:numFmt w:val="bullet"/>
      <w:lvlText w:val="●"/>
      <w:lvlJc w:val="left"/>
      <w:pPr>
        <w:tabs>
          <w:tab w:val="num" w:pos="6120"/>
        </w:tabs>
        <w:ind w:left="6120" w:hanging="360"/>
      </w:pPr>
      <w:rPr>
        <w:rFonts w:ascii="宋体" w:hAnsi="宋体" w:hint="default"/>
      </w:rPr>
    </w:lvl>
  </w:abstractNum>
  <w:abstractNum w:abstractNumId="1" w15:restartNumberingAfterBreak="0">
    <w:nsid w:val="3E4102CF"/>
    <w:multiLevelType w:val="hybridMultilevel"/>
    <w:tmpl w:val="DC6E20DA"/>
    <w:lvl w:ilvl="0" w:tplc="C3288EB8">
      <w:start w:val="1"/>
      <w:numFmt w:val="bullet"/>
      <w:lvlText w:val="●"/>
      <w:lvlJc w:val="left"/>
      <w:pPr>
        <w:tabs>
          <w:tab w:val="num" w:pos="360"/>
        </w:tabs>
        <w:ind w:left="360" w:hanging="360"/>
      </w:pPr>
      <w:rPr>
        <w:rFonts w:ascii="宋体" w:hAnsi="宋体" w:hint="default"/>
      </w:rPr>
    </w:lvl>
    <w:lvl w:ilvl="1" w:tplc="D3D05F9C" w:tentative="1">
      <w:start w:val="1"/>
      <w:numFmt w:val="bullet"/>
      <w:lvlText w:val="●"/>
      <w:lvlJc w:val="left"/>
      <w:pPr>
        <w:tabs>
          <w:tab w:val="num" w:pos="1080"/>
        </w:tabs>
        <w:ind w:left="1080" w:hanging="360"/>
      </w:pPr>
      <w:rPr>
        <w:rFonts w:ascii="宋体" w:hAnsi="宋体" w:hint="default"/>
      </w:rPr>
    </w:lvl>
    <w:lvl w:ilvl="2" w:tplc="792055EC" w:tentative="1">
      <w:start w:val="1"/>
      <w:numFmt w:val="bullet"/>
      <w:lvlText w:val="●"/>
      <w:lvlJc w:val="left"/>
      <w:pPr>
        <w:tabs>
          <w:tab w:val="num" w:pos="1800"/>
        </w:tabs>
        <w:ind w:left="1800" w:hanging="360"/>
      </w:pPr>
      <w:rPr>
        <w:rFonts w:ascii="宋体" w:hAnsi="宋体" w:hint="default"/>
      </w:rPr>
    </w:lvl>
    <w:lvl w:ilvl="3" w:tplc="D0C6DEB6" w:tentative="1">
      <w:start w:val="1"/>
      <w:numFmt w:val="bullet"/>
      <w:lvlText w:val="●"/>
      <w:lvlJc w:val="left"/>
      <w:pPr>
        <w:tabs>
          <w:tab w:val="num" w:pos="2520"/>
        </w:tabs>
        <w:ind w:left="2520" w:hanging="360"/>
      </w:pPr>
      <w:rPr>
        <w:rFonts w:ascii="宋体" w:hAnsi="宋体" w:hint="default"/>
      </w:rPr>
    </w:lvl>
    <w:lvl w:ilvl="4" w:tplc="67A8FC88" w:tentative="1">
      <w:start w:val="1"/>
      <w:numFmt w:val="bullet"/>
      <w:lvlText w:val="●"/>
      <w:lvlJc w:val="left"/>
      <w:pPr>
        <w:tabs>
          <w:tab w:val="num" w:pos="3240"/>
        </w:tabs>
        <w:ind w:left="3240" w:hanging="360"/>
      </w:pPr>
      <w:rPr>
        <w:rFonts w:ascii="宋体" w:hAnsi="宋体" w:hint="default"/>
      </w:rPr>
    </w:lvl>
    <w:lvl w:ilvl="5" w:tplc="B706EC4A" w:tentative="1">
      <w:start w:val="1"/>
      <w:numFmt w:val="bullet"/>
      <w:lvlText w:val="●"/>
      <w:lvlJc w:val="left"/>
      <w:pPr>
        <w:tabs>
          <w:tab w:val="num" w:pos="3960"/>
        </w:tabs>
        <w:ind w:left="3960" w:hanging="360"/>
      </w:pPr>
      <w:rPr>
        <w:rFonts w:ascii="宋体" w:hAnsi="宋体" w:hint="default"/>
      </w:rPr>
    </w:lvl>
    <w:lvl w:ilvl="6" w:tplc="8262857E" w:tentative="1">
      <w:start w:val="1"/>
      <w:numFmt w:val="bullet"/>
      <w:lvlText w:val="●"/>
      <w:lvlJc w:val="left"/>
      <w:pPr>
        <w:tabs>
          <w:tab w:val="num" w:pos="4680"/>
        </w:tabs>
        <w:ind w:left="4680" w:hanging="360"/>
      </w:pPr>
      <w:rPr>
        <w:rFonts w:ascii="宋体" w:hAnsi="宋体" w:hint="default"/>
      </w:rPr>
    </w:lvl>
    <w:lvl w:ilvl="7" w:tplc="9F24A326" w:tentative="1">
      <w:start w:val="1"/>
      <w:numFmt w:val="bullet"/>
      <w:lvlText w:val="●"/>
      <w:lvlJc w:val="left"/>
      <w:pPr>
        <w:tabs>
          <w:tab w:val="num" w:pos="5400"/>
        </w:tabs>
        <w:ind w:left="5400" w:hanging="360"/>
      </w:pPr>
      <w:rPr>
        <w:rFonts w:ascii="宋体" w:hAnsi="宋体" w:hint="default"/>
      </w:rPr>
    </w:lvl>
    <w:lvl w:ilvl="8" w:tplc="8C0E9082" w:tentative="1">
      <w:start w:val="1"/>
      <w:numFmt w:val="bullet"/>
      <w:lvlText w:val="●"/>
      <w:lvlJc w:val="left"/>
      <w:pPr>
        <w:tabs>
          <w:tab w:val="num" w:pos="6120"/>
        </w:tabs>
        <w:ind w:left="6120" w:hanging="360"/>
      </w:pPr>
      <w:rPr>
        <w:rFonts w:ascii="宋体" w:hAnsi="宋体" w:hint="default"/>
      </w:rPr>
    </w:lvl>
  </w:abstractNum>
  <w:abstractNum w:abstractNumId="2" w15:restartNumberingAfterBreak="0">
    <w:nsid w:val="4BB112BB"/>
    <w:multiLevelType w:val="hybridMultilevel"/>
    <w:tmpl w:val="902C4F54"/>
    <w:lvl w:ilvl="0" w:tplc="C9A42E82">
      <w:start w:val="1"/>
      <w:numFmt w:val="bullet"/>
      <w:lvlText w:val="●"/>
      <w:lvlJc w:val="left"/>
      <w:pPr>
        <w:tabs>
          <w:tab w:val="num" w:pos="360"/>
        </w:tabs>
        <w:ind w:left="360" w:hanging="360"/>
      </w:pPr>
      <w:rPr>
        <w:rFonts w:ascii="宋体" w:hAnsi="宋体" w:hint="default"/>
      </w:rPr>
    </w:lvl>
    <w:lvl w:ilvl="1" w:tplc="8FB8ED78" w:tentative="1">
      <w:start w:val="1"/>
      <w:numFmt w:val="bullet"/>
      <w:lvlText w:val="●"/>
      <w:lvlJc w:val="left"/>
      <w:pPr>
        <w:tabs>
          <w:tab w:val="num" w:pos="1080"/>
        </w:tabs>
        <w:ind w:left="1080" w:hanging="360"/>
      </w:pPr>
      <w:rPr>
        <w:rFonts w:ascii="宋体" w:hAnsi="宋体" w:hint="default"/>
      </w:rPr>
    </w:lvl>
    <w:lvl w:ilvl="2" w:tplc="CF4063D2" w:tentative="1">
      <w:start w:val="1"/>
      <w:numFmt w:val="bullet"/>
      <w:lvlText w:val="●"/>
      <w:lvlJc w:val="left"/>
      <w:pPr>
        <w:tabs>
          <w:tab w:val="num" w:pos="1800"/>
        </w:tabs>
        <w:ind w:left="1800" w:hanging="360"/>
      </w:pPr>
      <w:rPr>
        <w:rFonts w:ascii="宋体" w:hAnsi="宋体" w:hint="default"/>
      </w:rPr>
    </w:lvl>
    <w:lvl w:ilvl="3" w:tplc="E1D0889E" w:tentative="1">
      <w:start w:val="1"/>
      <w:numFmt w:val="bullet"/>
      <w:lvlText w:val="●"/>
      <w:lvlJc w:val="left"/>
      <w:pPr>
        <w:tabs>
          <w:tab w:val="num" w:pos="2520"/>
        </w:tabs>
        <w:ind w:left="2520" w:hanging="360"/>
      </w:pPr>
      <w:rPr>
        <w:rFonts w:ascii="宋体" w:hAnsi="宋体" w:hint="default"/>
      </w:rPr>
    </w:lvl>
    <w:lvl w:ilvl="4" w:tplc="BF12B080" w:tentative="1">
      <w:start w:val="1"/>
      <w:numFmt w:val="bullet"/>
      <w:lvlText w:val="●"/>
      <w:lvlJc w:val="left"/>
      <w:pPr>
        <w:tabs>
          <w:tab w:val="num" w:pos="3240"/>
        </w:tabs>
        <w:ind w:left="3240" w:hanging="360"/>
      </w:pPr>
      <w:rPr>
        <w:rFonts w:ascii="宋体" w:hAnsi="宋体" w:hint="default"/>
      </w:rPr>
    </w:lvl>
    <w:lvl w:ilvl="5" w:tplc="C3784D4C" w:tentative="1">
      <w:start w:val="1"/>
      <w:numFmt w:val="bullet"/>
      <w:lvlText w:val="●"/>
      <w:lvlJc w:val="left"/>
      <w:pPr>
        <w:tabs>
          <w:tab w:val="num" w:pos="3960"/>
        </w:tabs>
        <w:ind w:left="3960" w:hanging="360"/>
      </w:pPr>
      <w:rPr>
        <w:rFonts w:ascii="宋体" w:hAnsi="宋体" w:hint="default"/>
      </w:rPr>
    </w:lvl>
    <w:lvl w:ilvl="6" w:tplc="DD209F08" w:tentative="1">
      <w:start w:val="1"/>
      <w:numFmt w:val="bullet"/>
      <w:lvlText w:val="●"/>
      <w:lvlJc w:val="left"/>
      <w:pPr>
        <w:tabs>
          <w:tab w:val="num" w:pos="4680"/>
        </w:tabs>
        <w:ind w:left="4680" w:hanging="360"/>
      </w:pPr>
      <w:rPr>
        <w:rFonts w:ascii="宋体" w:hAnsi="宋体" w:hint="default"/>
      </w:rPr>
    </w:lvl>
    <w:lvl w:ilvl="7" w:tplc="6E0E8188" w:tentative="1">
      <w:start w:val="1"/>
      <w:numFmt w:val="bullet"/>
      <w:lvlText w:val="●"/>
      <w:lvlJc w:val="left"/>
      <w:pPr>
        <w:tabs>
          <w:tab w:val="num" w:pos="5400"/>
        </w:tabs>
        <w:ind w:left="5400" w:hanging="360"/>
      </w:pPr>
      <w:rPr>
        <w:rFonts w:ascii="宋体" w:hAnsi="宋体" w:hint="default"/>
      </w:rPr>
    </w:lvl>
    <w:lvl w:ilvl="8" w:tplc="A9828628" w:tentative="1">
      <w:start w:val="1"/>
      <w:numFmt w:val="bullet"/>
      <w:lvlText w:val="●"/>
      <w:lvlJc w:val="left"/>
      <w:pPr>
        <w:tabs>
          <w:tab w:val="num" w:pos="6120"/>
        </w:tabs>
        <w:ind w:left="6120" w:hanging="360"/>
      </w:pPr>
      <w:rPr>
        <w:rFonts w:ascii="宋体" w:hAnsi="宋体" w:hint="default"/>
      </w:rPr>
    </w:lvl>
  </w:abstractNum>
  <w:abstractNum w:abstractNumId="3" w15:restartNumberingAfterBreak="0">
    <w:nsid w:val="6E7E3776"/>
    <w:multiLevelType w:val="hybridMultilevel"/>
    <w:tmpl w:val="F0629970"/>
    <w:lvl w:ilvl="0" w:tplc="F284517E">
      <w:start w:val="1"/>
      <w:numFmt w:val="bullet"/>
      <w:lvlText w:val="●"/>
      <w:lvlJc w:val="left"/>
      <w:pPr>
        <w:tabs>
          <w:tab w:val="num" w:pos="720"/>
        </w:tabs>
        <w:ind w:left="720" w:hanging="360"/>
      </w:pPr>
      <w:rPr>
        <w:rFonts w:ascii="宋体" w:hAnsi="宋体" w:hint="default"/>
      </w:rPr>
    </w:lvl>
    <w:lvl w:ilvl="1" w:tplc="D5407334" w:tentative="1">
      <w:start w:val="1"/>
      <w:numFmt w:val="bullet"/>
      <w:lvlText w:val="●"/>
      <w:lvlJc w:val="left"/>
      <w:pPr>
        <w:tabs>
          <w:tab w:val="num" w:pos="1440"/>
        </w:tabs>
        <w:ind w:left="1440" w:hanging="360"/>
      </w:pPr>
      <w:rPr>
        <w:rFonts w:ascii="宋体" w:hAnsi="宋体" w:hint="default"/>
      </w:rPr>
    </w:lvl>
    <w:lvl w:ilvl="2" w:tplc="1690DD66" w:tentative="1">
      <w:start w:val="1"/>
      <w:numFmt w:val="bullet"/>
      <w:lvlText w:val="●"/>
      <w:lvlJc w:val="left"/>
      <w:pPr>
        <w:tabs>
          <w:tab w:val="num" w:pos="2160"/>
        </w:tabs>
        <w:ind w:left="2160" w:hanging="360"/>
      </w:pPr>
      <w:rPr>
        <w:rFonts w:ascii="宋体" w:hAnsi="宋体" w:hint="default"/>
      </w:rPr>
    </w:lvl>
    <w:lvl w:ilvl="3" w:tplc="3F84F67A" w:tentative="1">
      <w:start w:val="1"/>
      <w:numFmt w:val="bullet"/>
      <w:lvlText w:val="●"/>
      <w:lvlJc w:val="left"/>
      <w:pPr>
        <w:tabs>
          <w:tab w:val="num" w:pos="2880"/>
        </w:tabs>
        <w:ind w:left="2880" w:hanging="360"/>
      </w:pPr>
      <w:rPr>
        <w:rFonts w:ascii="宋体" w:hAnsi="宋体" w:hint="default"/>
      </w:rPr>
    </w:lvl>
    <w:lvl w:ilvl="4" w:tplc="6C3EF232" w:tentative="1">
      <w:start w:val="1"/>
      <w:numFmt w:val="bullet"/>
      <w:lvlText w:val="●"/>
      <w:lvlJc w:val="left"/>
      <w:pPr>
        <w:tabs>
          <w:tab w:val="num" w:pos="3600"/>
        </w:tabs>
        <w:ind w:left="3600" w:hanging="360"/>
      </w:pPr>
      <w:rPr>
        <w:rFonts w:ascii="宋体" w:hAnsi="宋体" w:hint="default"/>
      </w:rPr>
    </w:lvl>
    <w:lvl w:ilvl="5" w:tplc="F9340912" w:tentative="1">
      <w:start w:val="1"/>
      <w:numFmt w:val="bullet"/>
      <w:lvlText w:val="●"/>
      <w:lvlJc w:val="left"/>
      <w:pPr>
        <w:tabs>
          <w:tab w:val="num" w:pos="4320"/>
        </w:tabs>
        <w:ind w:left="4320" w:hanging="360"/>
      </w:pPr>
      <w:rPr>
        <w:rFonts w:ascii="宋体" w:hAnsi="宋体" w:hint="default"/>
      </w:rPr>
    </w:lvl>
    <w:lvl w:ilvl="6" w:tplc="6E6A3A32" w:tentative="1">
      <w:start w:val="1"/>
      <w:numFmt w:val="bullet"/>
      <w:lvlText w:val="●"/>
      <w:lvlJc w:val="left"/>
      <w:pPr>
        <w:tabs>
          <w:tab w:val="num" w:pos="5040"/>
        </w:tabs>
        <w:ind w:left="5040" w:hanging="360"/>
      </w:pPr>
      <w:rPr>
        <w:rFonts w:ascii="宋体" w:hAnsi="宋体" w:hint="default"/>
      </w:rPr>
    </w:lvl>
    <w:lvl w:ilvl="7" w:tplc="0BB46F8A" w:tentative="1">
      <w:start w:val="1"/>
      <w:numFmt w:val="bullet"/>
      <w:lvlText w:val="●"/>
      <w:lvlJc w:val="left"/>
      <w:pPr>
        <w:tabs>
          <w:tab w:val="num" w:pos="5760"/>
        </w:tabs>
        <w:ind w:left="5760" w:hanging="360"/>
      </w:pPr>
      <w:rPr>
        <w:rFonts w:ascii="宋体" w:hAnsi="宋体" w:hint="default"/>
      </w:rPr>
    </w:lvl>
    <w:lvl w:ilvl="8" w:tplc="710406D4" w:tentative="1">
      <w:start w:val="1"/>
      <w:numFmt w:val="bullet"/>
      <w:lvlText w:val="●"/>
      <w:lvlJc w:val="left"/>
      <w:pPr>
        <w:tabs>
          <w:tab w:val="num" w:pos="6480"/>
        </w:tabs>
        <w:ind w:left="6480" w:hanging="360"/>
      </w:pPr>
      <w:rPr>
        <w:rFonts w:ascii="宋体" w:hAnsi="宋体"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C48"/>
    <w:rsid w:val="00266C95"/>
    <w:rsid w:val="00872C48"/>
    <w:rsid w:val="00BF5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CE0E"/>
  <w15:chartTrackingRefBased/>
  <w15:docId w15:val="{997EA81B-DD85-451D-A4CA-35A99F3E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21987">
      <w:bodyDiv w:val="1"/>
      <w:marLeft w:val="0"/>
      <w:marRight w:val="0"/>
      <w:marTop w:val="0"/>
      <w:marBottom w:val="0"/>
      <w:divBdr>
        <w:top w:val="none" w:sz="0" w:space="0" w:color="auto"/>
        <w:left w:val="none" w:sz="0" w:space="0" w:color="auto"/>
        <w:bottom w:val="none" w:sz="0" w:space="0" w:color="auto"/>
        <w:right w:val="none" w:sz="0" w:space="0" w:color="auto"/>
      </w:divBdr>
    </w:div>
    <w:div w:id="102766545">
      <w:bodyDiv w:val="1"/>
      <w:marLeft w:val="0"/>
      <w:marRight w:val="0"/>
      <w:marTop w:val="0"/>
      <w:marBottom w:val="0"/>
      <w:divBdr>
        <w:top w:val="none" w:sz="0" w:space="0" w:color="auto"/>
        <w:left w:val="none" w:sz="0" w:space="0" w:color="auto"/>
        <w:bottom w:val="none" w:sz="0" w:space="0" w:color="auto"/>
        <w:right w:val="none" w:sz="0" w:space="0" w:color="auto"/>
      </w:divBdr>
    </w:div>
    <w:div w:id="243422218">
      <w:bodyDiv w:val="1"/>
      <w:marLeft w:val="0"/>
      <w:marRight w:val="0"/>
      <w:marTop w:val="0"/>
      <w:marBottom w:val="0"/>
      <w:divBdr>
        <w:top w:val="none" w:sz="0" w:space="0" w:color="auto"/>
        <w:left w:val="none" w:sz="0" w:space="0" w:color="auto"/>
        <w:bottom w:val="none" w:sz="0" w:space="0" w:color="auto"/>
        <w:right w:val="none" w:sz="0" w:space="0" w:color="auto"/>
      </w:divBdr>
    </w:div>
    <w:div w:id="294332424">
      <w:bodyDiv w:val="1"/>
      <w:marLeft w:val="0"/>
      <w:marRight w:val="0"/>
      <w:marTop w:val="0"/>
      <w:marBottom w:val="0"/>
      <w:divBdr>
        <w:top w:val="none" w:sz="0" w:space="0" w:color="auto"/>
        <w:left w:val="none" w:sz="0" w:space="0" w:color="auto"/>
        <w:bottom w:val="none" w:sz="0" w:space="0" w:color="auto"/>
        <w:right w:val="none" w:sz="0" w:space="0" w:color="auto"/>
      </w:divBdr>
    </w:div>
    <w:div w:id="320894991">
      <w:bodyDiv w:val="1"/>
      <w:marLeft w:val="0"/>
      <w:marRight w:val="0"/>
      <w:marTop w:val="0"/>
      <w:marBottom w:val="0"/>
      <w:divBdr>
        <w:top w:val="none" w:sz="0" w:space="0" w:color="auto"/>
        <w:left w:val="none" w:sz="0" w:space="0" w:color="auto"/>
        <w:bottom w:val="none" w:sz="0" w:space="0" w:color="auto"/>
        <w:right w:val="none" w:sz="0" w:space="0" w:color="auto"/>
      </w:divBdr>
    </w:div>
    <w:div w:id="508839349">
      <w:bodyDiv w:val="1"/>
      <w:marLeft w:val="0"/>
      <w:marRight w:val="0"/>
      <w:marTop w:val="0"/>
      <w:marBottom w:val="0"/>
      <w:divBdr>
        <w:top w:val="none" w:sz="0" w:space="0" w:color="auto"/>
        <w:left w:val="none" w:sz="0" w:space="0" w:color="auto"/>
        <w:bottom w:val="none" w:sz="0" w:space="0" w:color="auto"/>
        <w:right w:val="none" w:sz="0" w:space="0" w:color="auto"/>
      </w:divBdr>
    </w:div>
    <w:div w:id="553926283">
      <w:bodyDiv w:val="1"/>
      <w:marLeft w:val="0"/>
      <w:marRight w:val="0"/>
      <w:marTop w:val="0"/>
      <w:marBottom w:val="0"/>
      <w:divBdr>
        <w:top w:val="none" w:sz="0" w:space="0" w:color="auto"/>
        <w:left w:val="none" w:sz="0" w:space="0" w:color="auto"/>
        <w:bottom w:val="none" w:sz="0" w:space="0" w:color="auto"/>
        <w:right w:val="none" w:sz="0" w:space="0" w:color="auto"/>
      </w:divBdr>
    </w:div>
    <w:div w:id="557470573">
      <w:bodyDiv w:val="1"/>
      <w:marLeft w:val="0"/>
      <w:marRight w:val="0"/>
      <w:marTop w:val="0"/>
      <w:marBottom w:val="0"/>
      <w:divBdr>
        <w:top w:val="none" w:sz="0" w:space="0" w:color="auto"/>
        <w:left w:val="none" w:sz="0" w:space="0" w:color="auto"/>
        <w:bottom w:val="none" w:sz="0" w:space="0" w:color="auto"/>
        <w:right w:val="none" w:sz="0" w:space="0" w:color="auto"/>
      </w:divBdr>
    </w:div>
    <w:div w:id="661738727">
      <w:bodyDiv w:val="1"/>
      <w:marLeft w:val="0"/>
      <w:marRight w:val="0"/>
      <w:marTop w:val="0"/>
      <w:marBottom w:val="0"/>
      <w:divBdr>
        <w:top w:val="none" w:sz="0" w:space="0" w:color="auto"/>
        <w:left w:val="none" w:sz="0" w:space="0" w:color="auto"/>
        <w:bottom w:val="none" w:sz="0" w:space="0" w:color="auto"/>
        <w:right w:val="none" w:sz="0" w:space="0" w:color="auto"/>
      </w:divBdr>
    </w:div>
    <w:div w:id="670837318">
      <w:bodyDiv w:val="1"/>
      <w:marLeft w:val="0"/>
      <w:marRight w:val="0"/>
      <w:marTop w:val="0"/>
      <w:marBottom w:val="0"/>
      <w:divBdr>
        <w:top w:val="none" w:sz="0" w:space="0" w:color="auto"/>
        <w:left w:val="none" w:sz="0" w:space="0" w:color="auto"/>
        <w:bottom w:val="none" w:sz="0" w:space="0" w:color="auto"/>
        <w:right w:val="none" w:sz="0" w:space="0" w:color="auto"/>
      </w:divBdr>
    </w:div>
    <w:div w:id="692417132">
      <w:bodyDiv w:val="1"/>
      <w:marLeft w:val="0"/>
      <w:marRight w:val="0"/>
      <w:marTop w:val="0"/>
      <w:marBottom w:val="0"/>
      <w:divBdr>
        <w:top w:val="none" w:sz="0" w:space="0" w:color="auto"/>
        <w:left w:val="none" w:sz="0" w:space="0" w:color="auto"/>
        <w:bottom w:val="none" w:sz="0" w:space="0" w:color="auto"/>
        <w:right w:val="none" w:sz="0" w:space="0" w:color="auto"/>
      </w:divBdr>
    </w:div>
    <w:div w:id="707027701">
      <w:bodyDiv w:val="1"/>
      <w:marLeft w:val="0"/>
      <w:marRight w:val="0"/>
      <w:marTop w:val="0"/>
      <w:marBottom w:val="0"/>
      <w:divBdr>
        <w:top w:val="none" w:sz="0" w:space="0" w:color="auto"/>
        <w:left w:val="none" w:sz="0" w:space="0" w:color="auto"/>
        <w:bottom w:val="none" w:sz="0" w:space="0" w:color="auto"/>
        <w:right w:val="none" w:sz="0" w:space="0" w:color="auto"/>
      </w:divBdr>
    </w:div>
    <w:div w:id="726148572">
      <w:bodyDiv w:val="1"/>
      <w:marLeft w:val="0"/>
      <w:marRight w:val="0"/>
      <w:marTop w:val="0"/>
      <w:marBottom w:val="0"/>
      <w:divBdr>
        <w:top w:val="none" w:sz="0" w:space="0" w:color="auto"/>
        <w:left w:val="none" w:sz="0" w:space="0" w:color="auto"/>
        <w:bottom w:val="none" w:sz="0" w:space="0" w:color="auto"/>
        <w:right w:val="none" w:sz="0" w:space="0" w:color="auto"/>
      </w:divBdr>
    </w:div>
    <w:div w:id="737096469">
      <w:bodyDiv w:val="1"/>
      <w:marLeft w:val="0"/>
      <w:marRight w:val="0"/>
      <w:marTop w:val="0"/>
      <w:marBottom w:val="0"/>
      <w:divBdr>
        <w:top w:val="none" w:sz="0" w:space="0" w:color="auto"/>
        <w:left w:val="none" w:sz="0" w:space="0" w:color="auto"/>
        <w:bottom w:val="none" w:sz="0" w:space="0" w:color="auto"/>
        <w:right w:val="none" w:sz="0" w:space="0" w:color="auto"/>
      </w:divBdr>
    </w:div>
    <w:div w:id="941499078">
      <w:bodyDiv w:val="1"/>
      <w:marLeft w:val="0"/>
      <w:marRight w:val="0"/>
      <w:marTop w:val="0"/>
      <w:marBottom w:val="0"/>
      <w:divBdr>
        <w:top w:val="none" w:sz="0" w:space="0" w:color="auto"/>
        <w:left w:val="none" w:sz="0" w:space="0" w:color="auto"/>
        <w:bottom w:val="none" w:sz="0" w:space="0" w:color="auto"/>
        <w:right w:val="none" w:sz="0" w:space="0" w:color="auto"/>
      </w:divBdr>
    </w:div>
    <w:div w:id="1100492737">
      <w:bodyDiv w:val="1"/>
      <w:marLeft w:val="0"/>
      <w:marRight w:val="0"/>
      <w:marTop w:val="0"/>
      <w:marBottom w:val="0"/>
      <w:divBdr>
        <w:top w:val="none" w:sz="0" w:space="0" w:color="auto"/>
        <w:left w:val="none" w:sz="0" w:space="0" w:color="auto"/>
        <w:bottom w:val="none" w:sz="0" w:space="0" w:color="auto"/>
        <w:right w:val="none" w:sz="0" w:space="0" w:color="auto"/>
      </w:divBdr>
    </w:div>
    <w:div w:id="1315186207">
      <w:bodyDiv w:val="1"/>
      <w:marLeft w:val="0"/>
      <w:marRight w:val="0"/>
      <w:marTop w:val="0"/>
      <w:marBottom w:val="0"/>
      <w:divBdr>
        <w:top w:val="none" w:sz="0" w:space="0" w:color="auto"/>
        <w:left w:val="none" w:sz="0" w:space="0" w:color="auto"/>
        <w:bottom w:val="none" w:sz="0" w:space="0" w:color="auto"/>
        <w:right w:val="none" w:sz="0" w:space="0" w:color="auto"/>
      </w:divBdr>
    </w:div>
    <w:div w:id="1389573529">
      <w:bodyDiv w:val="1"/>
      <w:marLeft w:val="0"/>
      <w:marRight w:val="0"/>
      <w:marTop w:val="0"/>
      <w:marBottom w:val="0"/>
      <w:divBdr>
        <w:top w:val="none" w:sz="0" w:space="0" w:color="auto"/>
        <w:left w:val="none" w:sz="0" w:space="0" w:color="auto"/>
        <w:bottom w:val="none" w:sz="0" w:space="0" w:color="auto"/>
        <w:right w:val="none" w:sz="0" w:space="0" w:color="auto"/>
      </w:divBdr>
    </w:div>
    <w:div w:id="1415318983">
      <w:bodyDiv w:val="1"/>
      <w:marLeft w:val="0"/>
      <w:marRight w:val="0"/>
      <w:marTop w:val="0"/>
      <w:marBottom w:val="0"/>
      <w:divBdr>
        <w:top w:val="none" w:sz="0" w:space="0" w:color="auto"/>
        <w:left w:val="none" w:sz="0" w:space="0" w:color="auto"/>
        <w:bottom w:val="none" w:sz="0" w:space="0" w:color="auto"/>
        <w:right w:val="none" w:sz="0" w:space="0" w:color="auto"/>
      </w:divBdr>
    </w:div>
    <w:div w:id="1509563501">
      <w:bodyDiv w:val="1"/>
      <w:marLeft w:val="0"/>
      <w:marRight w:val="0"/>
      <w:marTop w:val="0"/>
      <w:marBottom w:val="0"/>
      <w:divBdr>
        <w:top w:val="none" w:sz="0" w:space="0" w:color="auto"/>
        <w:left w:val="none" w:sz="0" w:space="0" w:color="auto"/>
        <w:bottom w:val="none" w:sz="0" w:space="0" w:color="auto"/>
        <w:right w:val="none" w:sz="0" w:space="0" w:color="auto"/>
      </w:divBdr>
    </w:div>
    <w:div w:id="1790659971">
      <w:bodyDiv w:val="1"/>
      <w:marLeft w:val="0"/>
      <w:marRight w:val="0"/>
      <w:marTop w:val="0"/>
      <w:marBottom w:val="0"/>
      <w:divBdr>
        <w:top w:val="none" w:sz="0" w:space="0" w:color="auto"/>
        <w:left w:val="none" w:sz="0" w:space="0" w:color="auto"/>
        <w:bottom w:val="none" w:sz="0" w:space="0" w:color="auto"/>
        <w:right w:val="none" w:sz="0" w:space="0" w:color="auto"/>
      </w:divBdr>
    </w:div>
    <w:div w:id="1821843466">
      <w:bodyDiv w:val="1"/>
      <w:marLeft w:val="0"/>
      <w:marRight w:val="0"/>
      <w:marTop w:val="0"/>
      <w:marBottom w:val="0"/>
      <w:divBdr>
        <w:top w:val="none" w:sz="0" w:space="0" w:color="auto"/>
        <w:left w:val="none" w:sz="0" w:space="0" w:color="auto"/>
        <w:bottom w:val="none" w:sz="0" w:space="0" w:color="auto"/>
        <w:right w:val="none" w:sz="0" w:space="0" w:color="auto"/>
      </w:divBdr>
    </w:div>
    <w:div w:id="196603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KEREN</dc:creator>
  <cp:keywords/>
  <dc:description/>
  <cp:lastModifiedBy>SHI KEREN</cp:lastModifiedBy>
  <cp:revision>2</cp:revision>
  <dcterms:created xsi:type="dcterms:W3CDTF">2017-10-11T21:14:00Z</dcterms:created>
  <dcterms:modified xsi:type="dcterms:W3CDTF">2017-10-11T21:21:00Z</dcterms:modified>
</cp:coreProperties>
</file>