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27C" w:rsidRPr="007400EA" w:rsidRDefault="001B527C" w:rsidP="000C5C93">
      <w:pPr>
        <w:rPr>
          <w:rFonts w:ascii="Arial" w:hAnsi="Arial" w:cs="Arial"/>
          <w:sz w:val="28"/>
          <w:szCs w:val="28"/>
          <w:lang w:val="fr-CA"/>
        </w:rPr>
      </w:pPr>
      <w:r w:rsidRPr="007400EA">
        <w:rPr>
          <w:rFonts w:ascii="Arial" w:hAnsi="Arial" w:cs="Arial"/>
          <w:sz w:val="28"/>
          <w:szCs w:val="28"/>
          <w:lang w:val="fr-CA"/>
        </w:rPr>
        <w:t>Règlement général de transaction d’option</w:t>
      </w:r>
    </w:p>
    <w:p w:rsidR="001B527C" w:rsidRPr="007400EA" w:rsidRDefault="001B527C" w:rsidP="001B527C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8"/>
          <w:szCs w:val="28"/>
          <w:lang w:val="fr-CA"/>
        </w:rPr>
      </w:pPr>
      <w:r w:rsidRPr="007400EA">
        <w:rPr>
          <w:rFonts w:ascii="Arial" w:hAnsi="Arial" w:cs="Arial"/>
          <w:sz w:val="28"/>
          <w:szCs w:val="28"/>
          <w:lang w:val="fr-CA"/>
        </w:rPr>
        <w:t>Animateur de marché.</w:t>
      </w:r>
    </w:p>
    <w:p w:rsidR="00F603E5" w:rsidRDefault="007400EA" w:rsidP="007400EA">
      <w:pPr>
        <w:rPr>
          <w:rFonts w:ascii="Arial" w:hAnsi="Arial" w:cs="Arial"/>
          <w:sz w:val="28"/>
          <w:szCs w:val="28"/>
          <w:shd w:val="clear" w:color="auto" w:fill="FFFFFF"/>
          <w:lang w:val="fr-CA"/>
        </w:rPr>
      </w:pPr>
      <w:r w:rsidRPr="007400EA">
        <w:rPr>
          <w:rFonts w:ascii="Arial" w:hAnsi="Arial" w:cs="Arial"/>
          <w:sz w:val="28"/>
          <w:szCs w:val="28"/>
          <w:shd w:val="clear" w:color="auto" w:fill="FFFFFF"/>
          <w:lang w:val="fr-CA"/>
        </w:rPr>
        <w:t>Un animateur de marché</w:t>
      </w:r>
      <w:r w:rsidR="00F603E5">
        <w:rPr>
          <w:rFonts w:ascii="Arial" w:hAnsi="Arial" w:cs="Arial"/>
          <w:sz w:val="28"/>
          <w:szCs w:val="28"/>
          <w:shd w:val="clear" w:color="auto" w:fill="FFFFFF"/>
          <w:lang w:val="fr-CA"/>
        </w:rPr>
        <w:t xml:space="preserve"> </w:t>
      </w:r>
      <w:r w:rsidRPr="007400EA">
        <w:rPr>
          <w:rFonts w:ascii="Arial" w:hAnsi="Arial" w:cs="Arial"/>
          <w:sz w:val="28"/>
          <w:szCs w:val="28"/>
          <w:shd w:val="clear" w:color="auto" w:fill="FFFFFF"/>
          <w:lang w:val="fr-CA"/>
        </w:rPr>
        <w:t xml:space="preserve">est un intermédiaire, souvent une banque d'investissement, qui cote en continu des marchés donnés pour ses clients. </w:t>
      </w:r>
      <w:r w:rsidR="00F603E5">
        <w:rPr>
          <w:rFonts w:ascii="Arial" w:hAnsi="Arial" w:cs="Arial"/>
          <w:sz w:val="28"/>
          <w:szCs w:val="28"/>
          <w:shd w:val="clear" w:color="auto" w:fill="FFFFFF"/>
          <w:lang w:val="fr-CA"/>
        </w:rPr>
        <w:t>Il</w:t>
      </w:r>
      <w:r w:rsidRPr="007400EA">
        <w:rPr>
          <w:rFonts w:ascii="Arial" w:hAnsi="Arial" w:cs="Arial"/>
          <w:sz w:val="28"/>
          <w:szCs w:val="28"/>
          <w:shd w:val="clear" w:color="auto" w:fill="FFFFFF"/>
          <w:lang w:val="fr-CA"/>
        </w:rPr>
        <w:t xml:space="preserve"> permet donc la liquidité des marchés en reliant sur le marché les investissements effectués par ses clients. </w:t>
      </w:r>
      <w:r w:rsidR="00F603E5">
        <w:rPr>
          <w:rFonts w:ascii="Arial" w:hAnsi="Arial" w:cs="Arial"/>
          <w:sz w:val="28"/>
          <w:szCs w:val="28"/>
          <w:shd w:val="clear" w:color="auto" w:fill="FFFFFF"/>
          <w:lang w:val="fr-CA"/>
        </w:rPr>
        <w:t>Dans le marché d’option, chacun ne traite qu’avec un animateur.</w:t>
      </w:r>
    </w:p>
    <w:p w:rsidR="001B527C" w:rsidRDefault="007A3F34" w:rsidP="00F603E5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8"/>
          <w:szCs w:val="28"/>
          <w:lang w:val="fr-CA"/>
        </w:rPr>
      </w:pPr>
      <w:r w:rsidRPr="00F603E5">
        <w:rPr>
          <w:rFonts w:ascii="Arial" w:hAnsi="Arial" w:cs="Arial"/>
          <w:sz w:val="28"/>
          <w:szCs w:val="28"/>
          <w:lang w:val="fr-CA"/>
        </w:rPr>
        <w:t xml:space="preserve">Contrats </w:t>
      </w:r>
      <w:r>
        <w:rPr>
          <w:rFonts w:ascii="Arial" w:hAnsi="Arial" w:cs="Arial"/>
          <w:sz w:val="28"/>
          <w:szCs w:val="28"/>
          <w:lang w:val="fr-CA"/>
        </w:rPr>
        <w:t>normalisés</w:t>
      </w:r>
    </w:p>
    <w:p w:rsidR="00F603E5" w:rsidRPr="00EA1D9E" w:rsidRDefault="00EA1D9E" w:rsidP="00EA1D9E">
      <w:pPr>
        <w:rPr>
          <w:rFonts w:ascii="Arial" w:hAnsi="Arial" w:cs="Arial" w:hint="eastAsia"/>
          <w:sz w:val="28"/>
          <w:szCs w:val="28"/>
          <w:lang w:val="fr-CA"/>
        </w:rPr>
      </w:pPr>
      <w:r>
        <w:rPr>
          <w:rFonts w:ascii="Arial" w:hAnsi="Arial" w:cs="Arial"/>
          <w:sz w:val="28"/>
          <w:szCs w:val="28"/>
          <w:lang w:val="fr-CA"/>
        </w:rPr>
        <w:t>L</w:t>
      </w:r>
      <w:r w:rsidRPr="00EA1D9E">
        <w:rPr>
          <w:rFonts w:ascii="Arial" w:hAnsi="Arial" w:cs="Arial"/>
          <w:sz w:val="28"/>
          <w:szCs w:val="28"/>
          <w:lang w:val="fr-CA"/>
        </w:rPr>
        <w:t>es termes et conditions du contrat sont fixés par l</w:t>
      </w:r>
      <w:r>
        <w:rPr>
          <w:rFonts w:ascii="Arial" w:hAnsi="Arial" w:cs="Arial"/>
          <w:sz w:val="28"/>
          <w:szCs w:val="28"/>
          <w:lang w:val="fr-CA"/>
        </w:rPr>
        <w:t>’animateur</w:t>
      </w:r>
      <w:r w:rsidRPr="00EA1D9E">
        <w:rPr>
          <w:rFonts w:ascii="Arial" w:hAnsi="Arial" w:cs="Arial"/>
          <w:sz w:val="28"/>
          <w:szCs w:val="28"/>
          <w:lang w:val="fr-CA"/>
        </w:rPr>
        <w:t xml:space="preserve">, et l'autre partie </w:t>
      </w:r>
      <w:r>
        <w:rPr>
          <w:rFonts w:ascii="Arial" w:hAnsi="Arial" w:cs="Arial"/>
          <w:sz w:val="28"/>
          <w:szCs w:val="28"/>
          <w:lang w:val="fr-CA"/>
        </w:rPr>
        <w:t>n’a</w:t>
      </w:r>
      <w:r w:rsidRPr="00EA1D9E">
        <w:rPr>
          <w:rFonts w:ascii="Arial" w:hAnsi="Arial" w:cs="Arial"/>
          <w:sz w:val="28"/>
          <w:szCs w:val="28"/>
          <w:lang w:val="fr-CA"/>
        </w:rPr>
        <w:t xml:space="preserve"> pas de capacité à négocier</w:t>
      </w:r>
      <w:r>
        <w:rPr>
          <w:rFonts w:ascii="Arial" w:hAnsi="Arial" w:cs="Arial"/>
          <w:sz w:val="28"/>
          <w:szCs w:val="28"/>
          <w:lang w:val="fr-CA"/>
        </w:rPr>
        <w:t>. Sauf</w:t>
      </w:r>
      <w:r w:rsidRPr="00EA1D9E">
        <w:rPr>
          <w:rFonts w:ascii="Arial" w:hAnsi="Arial" w:cs="Arial"/>
          <w:sz w:val="28"/>
          <w:szCs w:val="28"/>
          <w:lang w:val="fr-CA"/>
        </w:rPr>
        <w:t xml:space="preserve"> </w:t>
      </w:r>
      <w:r>
        <w:rPr>
          <w:rFonts w:ascii="Arial" w:hAnsi="Arial" w:cs="Arial"/>
          <w:sz w:val="28"/>
          <w:szCs w:val="28"/>
          <w:lang w:val="fr-CA"/>
        </w:rPr>
        <w:t xml:space="preserve">le </w:t>
      </w:r>
      <w:r w:rsidRPr="00EA1D9E">
        <w:rPr>
          <w:rFonts w:ascii="Arial" w:hAnsi="Arial" w:cs="Arial"/>
          <w:sz w:val="28"/>
          <w:szCs w:val="28"/>
          <w:lang w:val="fr-CA"/>
        </w:rPr>
        <w:t xml:space="preserve">prix d'option </w:t>
      </w:r>
      <w:r>
        <w:rPr>
          <w:rFonts w:ascii="Arial" w:hAnsi="Arial" w:cs="Arial"/>
          <w:sz w:val="28"/>
          <w:szCs w:val="28"/>
          <w:lang w:val="fr-CA"/>
        </w:rPr>
        <w:t xml:space="preserve">est </w:t>
      </w:r>
      <w:r w:rsidRPr="00EA1D9E">
        <w:rPr>
          <w:rFonts w:ascii="Arial" w:hAnsi="Arial" w:cs="Arial"/>
          <w:sz w:val="28"/>
          <w:szCs w:val="28"/>
          <w:lang w:val="fr-CA"/>
        </w:rPr>
        <w:t xml:space="preserve">déterminé par le marché, les autres </w:t>
      </w:r>
      <w:r>
        <w:rPr>
          <w:rFonts w:ascii="Arial" w:hAnsi="Arial" w:cs="Arial"/>
          <w:sz w:val="28"/>
          <w:szCs w:val="28"/>
          <w:lang w:val="fr-CA"/>
        </w:rPr>
        <w:t>donnés</w:t>
      </w:r>
      <w:r w:rsidRPr="00EA1D9E">
        <w:rPr>
          <w:rFonts w:ascii="Arial" w:hAnsi="Arial" w:cs="Arial"/>
          <w:sz w:val="28"/>
          <w:szCs w:val="28"/>
          <w:lang w:val="fr-CA"/>
        </w:rPr>
        <w:t xml:space="preserve"> du contrat </w:t>
      </w:r>
      <w:r>
        <w:rPr>
          <w:rFonts w:ascii="Arial" w:hAnsi="Arial" w:cs="Arial"/>
          <w:sz w:val="28"/>
          <w:szCs w:val="28"/>
          <w:lang w:val="fr-CA"/>
        </w:rPr>
        <w:t>sont</w:t>
      </w:r>
      <w:r w:rsidRPr="00EA1D9E">
        <w:rPr>
          <w:rFonts w:ascii="Arial" w:hAnsi="Arial" w:cs="Arial"/>
          <w:sz w:val="28"/>
          <w:szCs w:val="28"/>
          <w:lang w:val="fr-CA"/>
        </w:rPr>
        <w:t xml:space="preserve"> directement identifiés.</w:t>
      </w:r>
    </w:p>
    <w:p w:rsidR="001B527C" w:rsidRDefault="001B527C" w:rsidP="001B527C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8"/>
          <w:szCs w:val="28"/>
          <w:lang w:val="fr-CA"/>
        </w:rPr>
      </w:pPr>
      <w:r w:rsidRPr="007400EA">
        <w:rPr>
          <w:rFonts w:ascii="Arial" w:hAnsi="Arial" w:cs="Arial"/>
          <w:sz w:val="28"/>
          <w:szCs w:val="28"/>
          <w:lang w:val="fr-CA"/>
        </w:rPr>
        <w:t xml:space="preserve">Système de </w:t>
      </w:r>
      <w:proofErr w:type="spellStart"/>
      <w:r w:rsidRPr="007400EA">
        <w:rPr>
          <w:rFonts w:ascii="Arial" w:hAnsi="Arial" w:cs="Arial"/>
          <w:sz w:val="28"/>
          <w:szCs w:val="28"/>
          <w:lang w:val="fr-CA"/>
        </w:rPr>
        <w:t>margin</w:t>
      </w:r>
      <w:proofErr w:type="spellEnd"/>
    </w:p>
    <w:p w:rsidR="00745889" w:rsidRDefault="00745889" w:rsidP="001B527C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8"/>
          <w:szCs w:val="28"/>
          <w:lang w:val="fr-CA"/>
        </w:rPr>
      </w:pPr>
      <w:r>
        <w:rPr>
          <w:rFonts w:ascii="Arial" w:hAnsi="Arial" w:cs="Arial"/>
          <w:sz w:val="28"/>
          <w:szCs w:val="28"/>
          <w:lang w:val="fr-CA"/>
        </w:rPr>
        <w:t>Dépôt minimum chez les brokers</w:t>
      </w:r>
    </w:p>
    <w:p w:rsidR="00745889" w:rsidRPr="00745889" w:rsidRDefault="00745889" w:rsidP="00745889">
      <w:pPr>
        <w:ind w:firstLine="360"/>
        <w:rPr>
          <w:rFonts w:ascii="Arial" w:hAnsi="Arial" w:cs="Arial" w:hint="eastAsia"/>
          <w:sz w:val="28"/>
          <w:szCs w:val="28"/>
          <w:lang w:val="fr-CA"/>
        </w:rPr>
      </w:pPr>
      <w:r w:rsidRPr="00745889">
        <w:rPr>
          <w:rFonts w:ascii="Arial" w:hAnsi="Arial" w:cs="Arial"/>
          <w:sz w:val="28"/>
          <w:szCs w:val="28"/>
          <w:lang w:val="fr-CA"/>
        </w:rPr>
        <w:t>Aux États-Unis :</w:t>
      </w:r>
      <w:r>
        <w:rPr>
          <w:rFonts w:ascii="Arial" w:hAnsi="Arial" w:cs="Arial" w:hint="eastAsia"/>
          <w:sz w:val="28"/>
          <w:szCs w:val="28"/>
          <w:lang w:val="fr-CA"/>
        </w:rPr>
        <w:t xml:space="preserve"> 1</w:t>
      </w:r>
      <w:r>
        <w:rPr>
          <w:rFonts w:ascii="Arial" w:hAnsi="Arial" w:cs="Arial"/>
          <w:sz w:val="28"/>
          <w:szCs w:val="28"/>
          <w:lang w:val="fr-CA"/>
        </w:rPr>
        <w:t xml:space="preserve"> – 100 USD</w:t>
      </w:r>
    </w:p>
    <w:p w:rsidR="00745889" w:rsidRDefault="00745889" w:rsidP="00745889">
      <w:pPr>
        <w:pStyle w:val="a3"/>
        <w:ind w:left="360" w:firstLineChars="0" w:firstLine="0"/>
        <w:rPr>
          <w:rFonts w:ascii="Arial" w:hAnsi="Arial" w:cs="Arial"/>
          <w:sz w:val="28"/>
          <w:szCs w:val="28"/>
          <w:lang w:val="fr-CA"/>
        </w:rPr>
      </w:pPr>
      <w:r>
        <w:rPr>
          <w:rFonts w:ascii="Arial" w:hAnsi="Arial" w:cs="Arial"/>
          <w:sz w:val="28"/>
          <w:szCs w:val="28"/>
          <w:lang w:val="fr-CA"/>
        </w:rPr>
        <w:t>En France : 50 – 250 EUR</w:t>
      </w:r>
    </w:p>
    <w:p w:rsidR="00745889" w:rsidRDefault="00745889" w:rsidP="00745889">
      <w:pPr>
        <w:pStyle w:val="a3"/>
        <w:ind w:left="360" w:firstLineChars="0" w:firstLine="0"/>
        <w:rPr>
          <w:rFonts w:ascii="Arial" w:hAnsi="Arial" w:cs="Arial" w:hint="eastAsia"/>
          <w:sz w:val="28"/>
          <w:szCs w:val="28"/>
          <w:lang w:val="fr-CA"/>
        </w:rPr>
      </w:pPr>
      <w:r>
        <w:rPr>
          <w:rFonts w:ascii="Arial" w:hAnsi="Arial" w:cs="Arial"/>
          <w:sz w:val="28"/>
          <w:szCs w:val="28"/>
          <w:lang w:val="fr-CA"/>
        </w:rPr>
        <w:t xml:space="preserve">En Chine : 100 000 </w:t>
      </w:r>
      <w:r w:rsidR="00495B66">
        <w:rPr>
          <w:rFonts w:ascii="Arial" w:hAnsi="Arial" w:cs="Arial"/>
          <w:sz w:val="28"/>
          <w:szCs w:val="28"/>
          <w:lang w:val="fr-CA"/>
        </w:rPr>
        <w:t xml:space="preserve">CNY </w:t>
      </w:r>
      <w:r w:rsidR="00495B66">
        <w:rPr>
          <w:rFonts w:ascii="Arial" w:hAnsi="Arial" w:cs="Arial" w:hint="eastAsia"/>
          <w:sz w:val="28"/>
          <w:szCs w:val="28"/>
          <w:lang w:val="fr-CA"/>
        </w:rPr>
        <w:t>≈</w:t>
      </w:r>
      <w:r w:rsidR="00495B66">
        <w:rPr>
          <w:rFonts w:ascii="Arial" w:hAnsi="Arial" w:cs="Arial" w:hint="eastAsia"/>
          <w:sz w:val="28"/>
          <w:szCs w:val="28"/>
          <w:lang w:val="fr-CA"/>
        </w:rPr>
        <w:t xml:space="preserve"> </w:t>
      </w:r>
      <w:r w:rsidR="00495B66">
        <w:rPr>
          <w:rFonts w:ascii="Arial" w:hAnsi="Arial" w:cs="Arial"/>
          <w:sz w:val="28"/>
          <w:szCs w:val="28"/>
          <w:lang w:val="fr-CA"/>
        </w:rPr>
        <w:t>13 000 EUR</w:t>
      </w:r>
      <w:bookmarkStart w:id="0" w:name="_GoBack"/>
      <w:bookmarkEnd w:id="0"/>
    </w:p>
    <w:p w:rsidR="000549E4" w:rsidRPr="007400EA" w:rsidRDefault="000549E4" w:rsidP="000549E4">
      <w:pPr>
        <w:rPr>
          <w:rFonts w:ascii="Arial" w:hAnsi="Arial" w:cs="Arial"/>
          <w:sz w:val="28"/>
          <w:szCs w:val="28"/>
          <w:lang w:val="fr-CA"/>
        </w:rPr>
      </w:pPr>
    </w:p>
    <w:p w:rsidR="00745889" w:rsidRPr="007400EA" w:rsidRDefault="000549E4" w:rsidP="000549E4">
      <w:pPr>
        <w:rPr>
          <w:rFonts w:ascii="Arial" w:hAnsi="Arial" w:cs="Arial" w:hint="eastAsia"/>
          <w:sz w:val="28"/>
          <w:szCs w:val="28"/>
          <w:lang w:val="fr-CA"/>
        </w:rPr>
      </w:pPr>
      <w:r w:rsidRPr="007400EA">
        <w:rPr>
          <w:rFonts w:ascii="Arial" w:hAnsi="Arial" w:cs="Arial"/>
          <w:sz w:val="28"/>
          <w:szCs w:val="28"/>
          <w:lang w:val="fr-CA"/>
        </w:rPr>
        <w:t>États-Unis :</w:t>
      </w:r>
      <w:r w:rsidRPr="00745889">
        <w:rPr>
          <w:rFonts w:ascii="Arial" w:hAnsi="Arial" w:cs="Arial"/>
          <w:sz w:val="28"/>
          <w:szCs w:val="28"/>
          <w:lang w:val="fr-CA"/>
        </w:rPr>
        <w:t xml:space="preserve"> </w:t>
      </w:r>
      <w:proofErr w:type="spellStart"/>
      <w:r w:rsidRPr="007400EA">
        <w:rPr>
          <w:rFonts w:ascii="Arial" w:hAnsi="Arial" w:cs="Arial"/>
          <w:sz w:val="28"/>
          <w:szCs w:val="28"/>
          <w:lang w:val="fr-CA"/>
        </w:rPr>
        <w:t>Commodity</w:t>
      </w:r>
      <w:proofErr w:type="spellEnd"/>
      <w:r w:rsidRPr="007400EA">
        <w:rPr>
          <w:rFonts w:ascii="Arial" w:hAnsi="Arial" w:cs="Arial"/>
          <w:sz w:val="28"/>
          <w:szCs w:val="28"/>
          <w:lang w:val="fr-CA"/>
        </w:rPr>
        <w:t xml:space="preserve"> Futures Trading Commission</w:t>
      </w:r>
    </w:p>
    <w:p w:rsidR="000549E4" w:rsidRPr="007400EA" w:rsidRDefault="000549E4" w:rsidP="000549E4">
      <w:pPr>
        <w:rPr>
          <w:rFonts w:ascii="Arial" w:hAnsi="Arial" w:cs="Arial"/>
          <w:sz w:val="28"/>
          <w:szCs w:val="28"/>
          <w:lang w:val="fr-CA"/>
        </w:rPr>
      </w:pPr>
      <w:r w:rsidRPr="007400EA">
        <w:rPr>
          <w:rFonts w:ascii="Arial" w:hAnsi="Arial" w:cs="Arial"/>
          <w:sz w:val="28"/>
          <w:szCs w:val="28"/>
          <w:lang w:val="fr-CA"/>
        </w:rPr>
        <w:t>France : Autorité de Marchés Financiers</w:t>
      </w:r>
    </w:p>
    <w:p w:rsidR="000549E4" w:rsidRPr="007400EA" w:rsidRDefault="000549E4" w:rsidP="000549E4">
      <w:pPr>
        <w:rPr>
          <w:rFonts w:ascii="Arial" w:hAnsi="Arial" w:cs="Arial"/>
          <w:sz w:val="28"/>
          <w:szCs w:val="28"/>
          <w:lang w:val="fr-CA"/>
        </w:rPr>
      </w:pPr>
      <w:r w:rsidRPr="007400EA">
        <w:rPr>
          <w:rFonts w:ascii="Arial" w:hAnsi="Arial" w:cs="Arial"/>
          <w:sz w:val="28"/>
          <w:szCs w:val="28"/>
          <w:lang w:val="fr-CA"/>
        </w:rPr>
        <w:t xml:space="preserve">Chine : China Securities </w:t>
      </w:r>
      <w:proofErr w:type="spellStart"/>
      <w:r w:rsidRPr="007400EA">
        <w:rPr>
          <w:rFonts w:ascii="Arial" w:hAnsi="Arial" w:cs="Arial"/>
          <w:sz w:val="28"/>
          <w:szCs w:val="28"/>
          <w:lang w:val="fr-CA"/>
        </w:rPr>
        <w:t>Regulatory</w:t>
      </w:r>
      <w:proofErr w:type="spellEnd"/>
      <w:r w:rsidRPr="007400EA">
        <w:rPr>
          <w:rFonts w:ascii="Arial" w:hAnsi="Arial" w:cs="Arial"/>
          <w:sz w:val="28"/>
          <w:szCs w:val="28"/>
          <w:lang w:val="fr-CA"/>
        </w:rPr>
        <w:t xml:space="preserve"> Commission</w:t>
      </w:r>
    </w:p>
    <w:sectPr w:rsidR="000549E4" w:rsidRPr="00740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D6EF1"/>
    <w:multiLevelType w:val="hybridMultilevel"/>
    <w:tmpl w:val="F2AAF716"/>
    <w:lvl w:ilvl="0" w:tplc="628AA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AC5364"/>
    <w:multiLevelType w:val="hybridMultilevel"/>
    <w:tmpl w:val="734A3BE4"/>
    <w:lvl w:ilvl="0" w:tplc="A2C84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44A"/>
    <w:rsid w:val="000549E4"/>
    <w:rsid w:val="000C5C93"/>
    <w:rsid w:val="001B527C"/>
    <w:rsid w:val="00266C95"/>
    <w:rsid w:val="00495B66"/>
    <w:rsid w:val="007400EA"/>
    <w:rsid w:val="00745889"/>
    <w:rsid w:val="007A3F34"/>
    <w:rsid w:val="00DD144A"/>
    <w:rsid w:val="00EA1D9E"/>
    <w:rsid w:val="00F6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1644"/>
  <w15:chartTrackingRefBased/>
  <w15:docId w15:val="{3E5BB29B-D12A-443E-8889-42C2A937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C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6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923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535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7835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9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91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398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6964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5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27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565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14453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82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73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9258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1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KEREN</dc:creator>
  <cp:keywords/>
  <dc:description/>
  <cp:lastModifiedBy>SHI KEREN</cp:lastModifiedBy>
  <cp:revision>3</cp:revision>
  <dcterms:created xsi:type="dcterms:W3CDTF">2017-10-03T08:11:00Z</dcterms:created>
  <dcterms:modified xsi:type="dcterms:W3CDTF">2017-10-03T09:53:00Z</dcterms:modified>
</cp:coreProperties>
</file>