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8BA" w:rsidRPr="00BA38BA" w:rsidRDefault="00055AD8" w:rsidP="00784B6F">
      <w:pPr>
        <w:tabs>
          <w:tab w:val="left" w:pos="1770"/>
        </w:tabs>
        <w:spacing w:after="18"/>
      </w:pPr>
      <w:r>
        <w:rPr>
          <w:noProof/>
          <w:sz w:val="56"/>
          <w:szCs w:val="5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76200</wp:posOffset>
            </wp:positionH>
            <wp:positionV relativeFrom="paragraph">
              <wp:posOffset>9525</wp:posOffset>
            </wp:positionV>
            <wp:extent cx="1800225" cy="4572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wnloa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8BA"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</w:r>
      <w:r>
        <w:rPr>
          <w:sz w:val="56"/>
          <w:szCs w:val="56"/>
        </w:rPr>
        <w:tab/>
        <w:t xml:space="preserve"> </w:t>
      </w:r>
      <w:r w:rsidR="002F7025">
        <w:rPr>
          <w:sz w:val="56"/>
          <w:szCs w:val="56"/>
        </w:rPr>
        <w:t xml:space="preserve">     </w:t>
      </w:r>
      <w:r w:rsidR="00734F16">
        <w:rPr>
          <w:sz w:val="56"/>
          <w:szCs w:val="56"/>
        </w:rPr>
        <w:t xml:space="preserve">      </w:t>
      </w:r>
      <w:r w:rsidR="00BA38BA" w:rsidRPr="00BA38BA">
        <w:t xml:space="preserve">2018-07-27</w:t>
      </w:r>
    </w:p>
    <w:p w:rsidR="00BA38BA" w:rsidRPr="00784B6F" w:rsidRDefault="00941149" w:rsidP="00BA38BA">
      <w:pPr>
        <w:tabs>
          <w:tab w:val="left" w:pos="1770"/>
        </w:tabs>
        <w:rPr>
          <w:b/>
          <w:sz w:val="36"/>
          <w:szCs w:val="36"/>
        </w:rPr>
      </w:pPr>
      <w:r>
        <w:rPr>
          <w:sz w:val="56"/>
          <w:szCs w:val="56"/>
        </w:rPr>
        <w:t xml:space="preserve">      </w:t>
      </w:r>
      <w:r w:rsidR="00F64AFC">
        <w:rPr>
          <w:sz w:val="56"/>
          <w:szCs w:val="56"/>
        </w:rPr>
        <w:t xml:space="preserve">   </w:t>
      </w:r>
      <w:r w:rsidR="00BA38BA" w:rsidRPr="00784B6F">
        <w:rPr>
          <w:b/>
          <w:sz w:val="36"/>
          <w:szCs w:val="36"/>
        </w:rPr>
        <w:t xml:space="preserve">Competitor Deal Engagement Overview</w:t>
      </w:r>
    </w:p>
    <w:p w:rsidR="00464923" w:rsidRDefault="00547CD8" w:rsidP="000549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875"/>
        </w:tabs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464923">
        <w:rPr>
          <w:sz w:val="72"/>
          <w:szCs w:val="72"/>
        </w:rPr>
        <w:tab/>
      </w:r>
      <w:r w:rsidR="002415F1">
        <w:rPr>
          <w:sz w:val="72"/>
          <w:szCs w:val="72"/>
        </w:rPr>
        <w:t xml:space="preserve">       </w:t>
      </w:r>
      <w:r w:rsidR="00464923">
        <w:rPr>
          <w:sz w:val="72"/>
          <w:szCs w:val="72"/>
        </w:rPr>
        <w:drawing>
          <wp:inline distT="0" distB="0" distL="0" distR="0">
            <wp:extent cx="2857500" cy="14287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A81">
        <w:rPr>
          <w:sz w:val="72"/>
          <w:szCs w:val="72"/>
        </w:rPr>
        <w:t/>
      </w:r>
      <w:r w:rsidR="00054900">
        <w:rPr>
          <w:sz w:val="72"/>
          <w:szCs w:val="72"/>
        </w:rPr>
        <w:tab/>
      </w:r>
    </w:p>
    <w:p w:rsidR="001A6335" w:rsidRPr="00B745B9" w:rsidRDefault="00464923" w:rsidP="00B745B9">
      <w:pPr>
        <w:rPr>
          <w:sz w:val="72"/>
          <w:szCs w:val="72"/>
        </w:rPr>
      </w:pPr>
      <w:r>
        <w:rPr>
          <w:sz w:val="72"/>
          <w:szCs w:val="72"/>
        </w:rPr>
        <w:t xml:space="preserve"> </w:t>
      </w:r>
      <w:r w:rsidR="00FF31B4" w:rsidRPr="00B745B9">
        <w:rPr>
          <w:sz w:val="72"/>
          <w:szCs w:val="72"/>
        </w:rPr>
        <w:t xml:space="preserve">Colliers</w:t>
      </w:r>
      <w:proofErr w:type="spellStart"/>
      <w:r w:rsidR="00FF31B4" w:rsidRPr="00B745B9">
        <w:rPr>
          <w:sz w:val="72"/>
          <w:szCs w:val="72"/>
        </w:rPr>
        <w:t/>
      </w:r>
      <w:proofErr w:type="spellEnd"/>
      <w:r w:rsidR="00FF31B4" w:rsidRPr="00B745B9">
        <w:rPr>
          <w:sz w:val="72"/>
          <w:szCs w:val="72"/>
        </w:rPr>
        <w:t/>
      </w:r>
    </w:p>
    <w:p w:rsidR="002064A3" w:rsidRPr="00B745B9" w:rsidRDefault="00B745B9" w:rsidP="00B745B9">
      <w:pPr>
        <w:rPr>
          <w:b/>
          <w:sz w:val="36"/>
          <w:szCs w:val="36"/>
        </w:rPr>
      </w:pPr>
      <w:r w:rsidRPr="00B745B9">
        <w:rPr>
          <w:b/>
          <w:sz w:val="36"/>
          <w:szCs w:val="36"/>
        </w:rPr>
        <w:t xml:space="preserve">                                       </w:t>
      </w:r>
      <w:r w:rsidR="003C659A" w:rsidRPr="00B745B9">
        <w:rPr>
          <w:b/>
          <w:sz w:val="36"/>
          <w:szCs w:val="36"/>
        </w:rPr>
        <w:t xml:space="preserve">Investment Themes Overview</w:t>
      </w:r>
      <w:proofErr w:type="spellStart"/>
      <w:r w:rsidR="003C659A" w:rsidRPr="00E76D11">
        <w:rPr>
          <w:b/>
          <w:sz w:val="36"/>
          <w:szCs w:val="36"/>
          <w:u w:val="single"/>
        </w:rPr>
        <w:t/>
      </w:r>
      <w:proofErr w:type="spellEnd"/>
      <w:r w:rsidR="003C659A" w:rsidRPr="00B745B9">
        <w:rPr>
          <w:b/>
          <w:sz w:val="36"/>
          <w:szCs w:val="36"/>
        </w:rPr>
        <w:t/>
      </w:r>
    </w:p>
    <w:p w:rsidR="002064A3" w:rsidRPr="00A92776" w:rsidRDefault="00E76D11" w:rsidP="00A11460">
      <w:pPr>
        <w:tabs>
          <w:tab w:val="right" w:pos="8640"/>
        </w:tabs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>Acquisitions</w:t>
      </w:r>
      <w:r w:rsidR="00AD4486" w:rsidRPr="00A92776">
        <w:rPr>
          <w:b/>
          <w:color w:val="4F81BD" w:themeColor="accent1"/>
          <w:sz w:val="28"/>
          <w:szCs w:val="28"/>
        </w:rPr>
        <w:t xml:space="preserve"> </w:t>
      </w:r>
      <w:r w:rsidR="002064A3" w:rsidRPr="00A92776">
        <w:rPr>
          <w:b/>
          <w:color w:val="4F81BD" w:themeColor="accent1"/>
          <w:sz w:val="28"/>
          <w:szCs w:val="28"/>
        </w:rPr>
        <w:t xml:space="preserve">(17</w:t>
      </w:r>
      <w:proofErr w:type="spellStart"/>
      <w:r w:rsidR="002064A3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2064A3" w:rsidRPr="00A92776">
        <w:rPr>
          <w:b/>
          <w:color w:val="4F81BD" w:themeColor="accent1"/>
          <w:sz w:val="28"/>
          <w:szCs w:val="28"/>
        </w:rPr>
        <w:t xml:space="preserve">)</w:t>
      </w:r>
      <w:r w:rsidR="00A11460">
        <w:rPr>
          <w:b/>
          <w:color w:val="4F81BD" w:themeColor="accent1"/>
          <w:sz w:val="28"/>
          <w:szCs w:val="28"/>
        </w:rPr>
        <w:tab/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37"/>
        <w:gridCol w:w="2928"/>
        <w:gridCol w:w="3835"/>
      </w:tblGrid>
      <w:tr w:rsidR="00D201C6" w:rsidTr="00AB6558">
        <w:tc>
          <w:tcPr>
            <w:tcW w:w="3137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928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35" w:type="dxa"/>
          </w:tcPr>
          <w:p w:rsidR="00D201C6" w:rsidRPr="000859BC" w:rsidRDefault="00D201C6" w:rsidP="0059122C">
            <w:pPr>
              <w:rPr>
                <w:b/>
              </w:rPr>
            </w:pPr>
            <w:r w:rsidRPr="000859BC">
              <w:rPr>
                <w:b/>
              </w:rPr>
              <w:t>Links to News</w:t>
            </w:r>
            <w:r w:rsidR="00AD4486" w:rsidRPr="000859BC">
              <w:rPr>
                <w:b/>
              </w:rPr>
              <w:t xml:space="preserve"> A</w:t>
            </w:r>
            <w:r w:rsidRPr="000859BC">
              <w:rPr>
                <w:b/>
              </w:rPr>
              <w:t>rticles</w:t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CBC Advisors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dominant market leader in Utah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Beacon Realty Group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Real estate company acquiring firm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Commercial 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Ovenia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Vaaka Partners exits real estate manager Ovenia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Irwin Saviers Ballard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Arkansas acquires Irwin Saviers Ballard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Serten Advisors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Aiming To Double Its D.C. Office By 2020, Colliers Acquires Serten Advisors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Irwin Partners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Arkansas Merges with Irwin Partners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WelshCo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(CIGI) to Acquire WelshCo LLC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The Walker Co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industrial and logistics site selection through a purchase from Walker Companies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Asset Management/Consulting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Vision Asset Management Co.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Vision Asset Management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Bolling Group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leading building consultancy specialist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WPM Group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leading property management specialist in the Netherlands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Groupe Immobilier�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Groupe Immobilier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Hatton Real Estate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leading London property specialist Hatton Real Estate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NAI Norris, Beggs &amp; Simpson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NAI Norris, Beggs &amp; Simpson's brokerage arm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Pointe Group Advisors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Pointe Group Advisors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CASE Commercial Real Estate Partners LLC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Case Commercial Real Estate Partners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  <w:tr w:rsidR="00055D9A" w:rsidRPr="008324CF" w:rsidTr="000C332A">
        <w:tc>
          <w:tcPr>
            <w:tcW w:w="3137" w:type="dxa"/>
          </w:tcPr>
          <w:p w:rsidR="00E907A9" w:rsidRPr="008324CF" w:rsidRDefault="00F90C5D" w:rsidP="00C41E46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/>
            </w:r>
            <w:r w:rsidR="00A27033" w:rsidRPr="008324CF">
              <w:t xml:space="preserve">Real Estate</w:t>
            </w:r>
            <w:proofErr w:type="gramEnd"/>
            <w:r w:rsidR="00A27033" w:rsidRPr="008324CF">
              <w:rPr>
                <w:b/>
              </w:rPr>
              <w:t/>
            </w:r>
            <w:r w:rsidR="00055D9A" w:rsidRPr="008324CF">
              <w:t/>
            </w:r>
          </w:p>
        </w:tc>
        <w:tc>
          <w:tcPr>
            <w:tcW w:w="2928" w:type="dxa"/>
          </w:tcPr>
          <w:p w:rsidR="00055D9A" w:rsidRPr="008324CF" w:rsidRDefault="00A27033" w:rsidP="0059122C">
            <w:r w:rsidRPr="008324CF">
              <w:t xml:space="preserve">Corporate Portfolio Analytics</w:t>
            </w:r>
            <w:r w:rsidR="00055D9A" w:rsidRPr="008324CF">
              <w:t/>
            </w:r>
          </w:p>
        </w:tc>
        <w:tc>
          <w:tcPr>
            <w:tcW w:w="2880" w:type="dxa"/>
            <w:vAlign w:val="center"/>
          </w:tcPr>
          <w:p w:rsidR="00055D9A" w:rsidRPr="008324CF" w:rsidRDefault="00055D9A" w:rsidP="00431B57">
            <w:pPr>
              <w:spacing w:line="240" w:lineRule="auto"/>
            </w:pPr>
            <w:r w:rsidRPr="008324CF">
              <w:t xml:space="preserve">Colliers International Acquires Corporate Portfolio Analytics</w:t>
            </w:r>
            <w:hyperlink r:id="rId8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F90C5D" w:rsidRPr="008324CF">
              <w:t/>
            </w:r>
            <w:proofErr w:type="spellStart"/>
            <w:r w:rsidR="00F90C5D" w:rsidRPr="008324CF">
              <w:t/>
            </w:r>
            <w:proofErr w:type="spellEnd"/>
            <w:r w:rsidR="00F90C5D" w:rsidRPr="008324CF">
              <w:t/>
            </w:r>
          </w:p>
        </w:tc>
      </w:tr>
    </w:tbl>
    <w:p w:rsidR="00E76D11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</w:p>
    <w:p w:rsidR="00AD4486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D4486" w:rsidRPr="00A92776">
        <w:rPr>
          <w:b/>
          <w:color w:val="4F81BD" w:themeColor="accent1"/>
          <w:sz w:val="28"/>
          <w:szCs w:val="28"/>
        </w:rPr>
        <w:t xml:space="preserve">Investments (0</w:t>
      </w:r>
      <w:proofErr w:type="spellStart"/>
      <w:r w:rsidR="00AD4486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AD4486" w:rsidRPr="00A92776">
        <w:rPr>
          <w:b/>
          <w:color w:val="4F81BD" w:themeColor="accent1"/>
          <w:sz w:val="28"/>
          <w:szCs w:val="28"/>
        </w:rPr>
        <w:t xml:space="preserve">)</w:t>
      </w:r>
      <w:bookmarkStart w:id="0" w:name="_GoBack"/>
      <w:bookmarkEnd w:id="0"/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177"/>
        <w:gridCol w:w="2880"/>
        <w:gridCol w:w="3843"/>
      </w:tblGrid>
      <w:tr w:rsidR="00AD4486" w:rsidTr="00AB6558">
        <w:tc>
          <w:tcPr>
            <w:tcW w:w="3177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80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43" w:type="dxa"/>
          </w:tcPr>
          <w:p w:rsidR="00AD4486" w:rsidRPr="000859BC" w:rsidRDefault="00AD4486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D4486" w:rsidRPr="008324CF" w:rsidTr="008324CF">
        <w:tc>
          <w:tcPr>
            <w:tcW w:w="3177" w:type="dxa"/>
          </w:tcPr>
          <w:p w:rsidR="00AD4486" w:rsidRPr="008324CF" w:rsidRDefault="007B639E" w:rsidP="0059122C">
            <w:r w:rsidRPr="008324CF">
              <w:t/>
            </w:r>
            <w:proofErr w:type="spellStart"/>
            <w:r w:rsidRPr="008324CF">
              <w:t/>
            </w:r>
            <w:proofErr w:type="gramStart"/>
            <w:r w:rsidRPr="008324CF">
              <w:t/>
            </w:r>
            <w:proofErr w:type="spellEnd"/>
            <w:r w:rsidRPr="008324CF">
              <w:t xml:space="preserve">-</w:t>
            </w:r>
            <w:proofErr w:type="gramEnd"/>
            <w:r w:rsidRPr="008324CF">
              <w:rPr>
                <w:b/>
              </w:rPr>
              <w:t/>
            </w:r>
            <w:r w:rsidRPr="008324CF">
              <w:t/>
            </w:r>
          </w:p>
        </w:tc>
        <w:tc>
          <w:tcPr>
            <w:tcW w:w="2880" w:type="dxa"/>
          </w:tcPr>
          <w:p w:rsidR="00AD4486" w:rsidRPr="008324CF" w:rsidRDefault="007B639E" w:rsidP="0059122C">
            <w:r w:rsidRPr="008324CF">
              <w:t xml:space="preserve">-</w:t>
            </w:r>
            <w:r w:rsidR="00AD4486" w:rsidRPr="008324CF">
              <w:t/>
            </w:r>
          </w:p>
        </w:tc>
        <w:tc>
          <w:tcPr>
            <w:tcW w:w="2880" w:type="dxa"/>
          </w:tcPr>
          <w:p w:rsidR="00AD4486" w:rsidRPr="008324CF" w:rsidRDefault="00AD4486" w:rsidP="00431B57">
            <w:pPr>
              <w:spacing w:line="240" w:lineRule="auto"/>
            </w:pPr>
            <w:r w:rsidRPr="008324CF">
              <w:t xml:space="preserve">-</w:t>
            </w:r>
            <w:hyperlink r:id="rId9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</w:tbl>
    <w:p w:rsidR="00AD4486" w:rsidRDefault="00AD4486" w:rsidP="0059122C"/>
    <w:p w:rsidR="000911E9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0911E9" w:rsidRPr="00A92776">
        <w:rPr>
          <w:b/>
          <w:color w:val="4F81BD" w:themeColor="accent1"/>
          <w:sz w:val="28"/>
          <w:szCs w:val="28"/>
        </w:rPr>
        <w:t xml:space="preserve">Partnerships (0</w:t>
      </w:r>
      <w:proofErr w:type="spellStart"/>
      <w:r w:rsidR="000911E9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0911E9"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9900" w:type="dxa"/>
        <w:tblInd w:w="198" w:type="dxa"/>
        <w:tblLook w:val="04A0" w:firstRow="1" w:lastRow="0" w:firstColumn="1" w:lastColumn="0" w:noHBand="0" w:noVBand="1"/>
      </w:tblPr>
      <w:tblGrid>
        <w:gridCol w:w="3212"/>
        <w:gridCol w:w="2879"/>
        <w:gridCol w:w="3809"/>
      </w:tblGrid>
      <w:tr w:rsidR="00C81D53" w:rsidTr="00AB6558">
        <w:tc>
          <w:tcPr>
            <w:tcW w:w="3212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809" w:type="dxa"/>
          </w:tcPr>
          <w:p w:rsidR="00C81D53" w:rsidRPr="000859BC" w:rsidRDefault="00294715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C81D53" w:rsidRPr="008324CF" w:rsidTr="000C332A">
        <w:tc>
          <w:tcPr>
            <w:tcW w:w="3212" w:type="dxa"/>
          </w:tcPr>
          <w:p w:rsidR="00C81D53" w:rsidRPr="008324CF" w:rsidRDefault="002A14B4" w:rsidP="0059122C"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gramStart"/>
            <w:r w:rsidR="007B639E" w:rsidRPr="008324CF">
              <w:t/>
            </w:r>
            <w:proofErr w:type="spellEnd"/>
            <w:r w:rsidRPr="008324CF">
              <w:t/>
            </w:r>
            <w:r w:rsidR="007B639E" w:rsidRPr="008324CF">
              <w:t xml:space="preserve">-</w:t>
            </w:r>
            <w:proofErr w:type="gramEnd"/>
            <w:r w:rsidR="007B639E" w:rsidRPr="008324CF">
              <w:rPr>
                <w:b/>
              </w:rPr>
              <w:t/>
            </w:r>
            <w:r w:rsidR="007B639E" w:rsidRPr="008324CF">
              <w:t/>
            </w:r>
          </w:p>
        </w:tc>
        <w:tc>
          <w:tcPr>
            <w:tcW w:w="2879" w:type="dxa"/>
          </w:tcPr>
          <w:p w:rsidR="00C81D53" w:rsidRPr="008324CF" w:rsidRDefault="007B639E" w:rsidP="0059122C">
            <w:r w:rsidRPr="008324CF">
              <w:t xml:space="preserve">-</w:t>
            </w:r>
            <w:r w:rsidR="002A14B4" w:rsidRPr="008324CF">
              <w:t/>
            </w:r>
          </w:p>
        </w:tc>
        <w:tc>
          <w:tcPr>
            <w:tcW w:w="3809" w:type="dxa"/>
          </w:tcPr>
          <w:p w:rsidR="00C81D53" w:rsidRPr="008324CF" w:rsidRDefault="002A14B4" w:rsidP="0059122C">
            <w:r w:rsidRPr="008324CF">
              <w:t xml:space="preserve">-</w:t>
            </w:r>
            <w:hyperlink r:id="rId10" w:history="1">
              <w:r w:rsidR="00C41E46" w:rsidRPr="008324CF">
                <w:rPr>
                  <w:rStyle w:val="Hyperlink"/>
                </w:rPr>
                <w:t/>
              </w:r>
            </w:hyperlink>
            <w:r w:rsidRPr="008324CF">
              <w:t/>
            </w:r>
            <w:r w:rsidR="007B639E" w:rsidRPr="008324CF">
              <w:t/>
            </w:r>
            <w:proofErr w:type="spellStart"/>
            <w:r w:rsidR="007B639E" w:rsidRPr="008324CF">
              <w:t/>
            </w:r>
            <w:proofErr w:type="spellEnd"/>
            <w:r w:rsidR="007B639E" w:rsidRPr="008324CF">
              <w:t/>
            </w:r>
          </w:p>
        </w:tc>
      </w:tr>
    </w:tbl>
    <w:p w:rsidR="00C81D53" w:rsidRDefault="00C81D53" w:rsidP="0059122C"/>
    <w:p w:rsidR="00AE472D" w:rsidRPr="00A92776" w:rsidRDefault="00E76D11" w:rsidP="0059122C">
      <w:pPr>
        <w:rPr>
          <w:b/>
          <w:color w:val="4F81BD" w:themeColor="accent1"/>
          <w:sz w:val="28"/>
          <w:szCs w:val="28"/>
        </w:rPr>
      </w:pPr>
      <w:r>
        <w:rPr>
          <w:b/>
          <w:color w:val="4F81BD" w:themeColor="accent1"/>
          <w:sz w:val="28"/>
          <w:szCs w:val="28"/>
        </w:rPr>
        <w:t xml:space="preserve"> </w:t>
      </w:r>
      <w:r w:rsidR="00AE472D" w:rsidRPr="00A92776">
        <w:rPr>
          <w:b/>
          <w:color w:val="4F81BD" w:themeColor="accent1"/>
          <w:sz w:val="28"/>
          <w:szCs w:val="28"/>
        </w:rPr>
        <w:t xml:space="preserve">Look Forwards (0</w:t>
      </w:r>
      <w:proofErr w:type="spellStart"/>
      <w:r w:rsidR="00AE472D" w:rsidRPr="00A92776">
        <w:rPr>
          <w:b/>
          <w:color w:val="4F81BD" w:themeColor="accent1"/>
          <w:sz w:val="28"/>
          <w:szCs w:val="28"/>
        </w:rPr>
        <w:t/>
      </w:r>
      <w:proofErr w:type="spellEnd"/>
      <w:r w:rsidR="00AE472D" w:rsidRPr="00A92776">
        <w:rPr>
          <w:b/>
          <w:color w:val="4F81BD" w:themeColor="accent1"/>
          <w:sz w:val="28"/>
          <w:szCs w:val="28"/>
        </w:rPr>
        <w:t xml:space="preserve">)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3274"/>
        <w:gridCol w:w="2877"/>
        <w:gridCol w:w="3749"/>
      </w:tblGrid>
      <w:tr w:rsidR="00AE472D" w:rsidTr="00D3422A">
        <w:tc>
          <w:tcPr>
            <w:tcW w:w="3274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Theme</w:t>
            </w:r>
          </w:p>
        </w:tc>
        <w:tc>
          <w:tcPr>
            <w:tcW w:w="2877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Company</w:t>
            </w:r>
          </w:p>
        </w:tc>
        <w:tc>
          <w:tcPr>
            <w:tcW w:w="3749" w:type="dxa"/>
          </w:tcPr>
          <w:p w:rsidR="00AE472D" w:rsidRPr="000859BC" w:rsidRDefault="00AE472D" w:rsidP="0059122C">
            <w:pPr>
              <w:rPr>
                <w:b/>
              </w:rPr>
            </w:pPr>
            <w:r w:rsidRPr="000859BC">
              <w:rPr>
                <w:b/>
              </w:rPr>
              <w:t>Links to News Articles</w:t>
            </w:r>
          </w:p>
        </w:tc>
      </w:tr>
      <w:tr w:rsidR="00AE472D" w:rsidTr="000C332A">
        <w:tc>
          <w:tcPr>
            <w:tcW w:w="3274" w:type="dxa"/>
          </w:tcPr>
          <w:p w:rsidR="00AE472D" w:rsidRDefault="007B639E" w:rsidP="0059122C">
            <w:r>
              <w:t/>
            </w:r>
            <w:proofErr w:type="spellStart"/>
            <w:r>
              <w:t/>
            </w:r>
            <w:proofErr w:type="gramStart"/>
            <w:r>
              <w:t/>
            </w:r>
            <w:proofErr w:type="spellEnd"/>
            <w:r w:rsidR="00014AF8">
              <w:t/>
            </w:r>
            <w:r>
              <w:t xml:space="preserve">-</w:t>
            </w:r>
            <w:proofErr w:type="gramEnd"/>
            <w:r w:rsidRPr="00816F15">
              <w:rPr>
                <w:b/>
              </w:rPr>
              <w:t/>
            </w:r>
            <w:r>
              <w:t/>
            </w:r>
          </w:p>
        </w:tc>
        <w:tc>
          <w:tcPr>
            <w:tcW w:w="2877" w:type="dxa"/>
          </w:tcPr>
          <w:p w:rsidR="00AE472D" w:rsidRDefault="007B639E" w:rsidP="0059122C">
            <w:r>
              <w:t xml:space="preserve">-</w:t>
            </w:r>
            <w:r w:rsidR="00014AF8">
              <w:t/>
            </w:r>
          </w:p>
        </w:tc>
        <w:tc>
          <w:tcPr>
            <w:tcW w:w="3749" w:type="dxa"/>
          </w:tcPr>
          <w:p w:rsidR="00AE472D" w:rsidRDefault="00014AF8" w:rsidP="0059122C">
            <w:r>
              <w:t xml:space="preserve">-</w:t>
            </w:r>
            <w:hyperlink r:id="rId11" w:history="1">
              <w:r w:rsidR="00C41E46" w:rsidRPr="00B658A2">
                <w:rPr>
                  <w:rStyle w:val="Hyperlink"/>
                </w:rPr>
                <w:t/>
              </w:r>
            </w:hyperlink>
            <w:r>
              <w:t/>
            </w:r>
            <w:r w:rsidR="007B639E">
              <w:t/>
            </w:r>
            <w:proofErr w:type="spellStart"/>
            <w:r w:rsidR="007B639E">
              <w:t/>
            </w:r>
            <w:proofErr w:type="spellEnd"/>
            <w:r w:rsidR="007B639E">
              <w:t/>
            </w:r>
          </w:p>
        </w:tc>
      </w:tr>
    </w:tbl>
    <w:p w:rsidR="00455EE5" w:rsidRDefault="00455EE5" w:rsidP="0059122C"/>
    <w:p w:rsidR="00455EE5" w:rsidRDefault="00455EE5" w:rsidP="00455EE5"/>
    <w:p w:rsidR="00AE472D" w:rsidRPr="00455EE5" w:rsidRDefault="00455EE5" w:rsidP="00455EE5">
      <w:pPr>
        <w:tabs>
          <w:tab w:val="left" w:pos="1470"/>
        </w:tabs>
      </w:pPr>
      <w:r>
        <w:tab/>
      </w:r>
    </w:p>
    <w:sectPr w:rsidR="00AE472D" w:rsidRPr="00455EE5" w:rsidSect="00784B6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907" w:right="706" w:bottom="634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6580" w:rsidRDefault="00256580" w:rsidP="00C703AC">
      <w:pPr>
        <w:spacing w:after="0" w:line="240" w:lineRule="auto"/>
      </w:pPr>
      <w:r>
        <w:separator/>
      </w:r>
    </w:p>
  </w:endnote>
  <w:end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03AC" w:rsidRDefault="00C703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6580" w:rsidRDefault="00256580" w:rsidP="00C703AC">
      <w:pPr>
        <w:spacing w:after="0" w:line="240" w:lineRule="auto"/>
      </w:pPr>
      <w:r>
        <w:separator/>
      </w:r>
    </w:p>
  </w:footnote>
  <w:footnote w:type="continuationSeparator" w:id="0">
    <w:p w:rsidR="00256580" w:rsidRDefault="00256580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1460" w:rsidRDefault="00A11460" w:rsidP="00BA38BA">
    <w:pPr>
      <w:pStyle w:val="Header"/>
      <w:tabs>
        <w:tab w:val="clear" w:pos="4680"/>
        <w:tab w:val="clear" w:pos="9360"/>
        <w:tab w:val="left" w:pos="330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EE5" w:rsidRDefault="00455EE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014D9"/>
    <w:rsid w:val="00014AF8"/>
    <w:rsid w:val="000250D3"/>
    <w:rsid w:val="00025D38"/>
    <w:rsid w:val="0005131B"/>
    <w:rsid w:val="00054900"/>
    <w:rsid w:val="00055AD8"/>
    <w:rsid w:val="00055D9A"/>
    <w:rsid w:val="0006503E"/>
    <w:rsid w:val="000859BC"/>
    <w:rsid w:val="000911E9"/>
    <w:rsid w:val="0009335D"/>
    <w:rsid w:val="000A7797"/>
    <w:rsid w:val="000C332A"/>
    <w:rsid w:val="000F6B6F"/>
    <w:rsid w:val="00100E41"/>
    <w:rsid w:val="00131465"/>
    <w:rsid w:val="00145ECE"/>
    <w:rsid w:val="001845E1"/>
    <w:rsid w:val="001A3B3C"/>
    <w:rsid w:val="001A6335"/>
    <w:rsid w:val="001D1662"/>
    <w:rsid w:val="002018A0"/>
    <w:rsid w:val="002064A3"/>
    <w:rsid w:val="0022454E"/>
    <w:rsid w:val="002415F1"/>
    <w:rsid w:val="002520C2"/>
    <w:rsid w:val="00256580"/>
    <w:rsid w:val="00285F53"/>
    <w:rsid w:val="0028666D"/>
    <w:rsid w:val="00294715"/>
    <w:rsid w:val="002A14B4"/>
    <w:rsid w:val="002B39F0"/>
    <w:rsid w:val="002D3239"/>
    <w:rsid w:val="002E1AF2"/>
    <w:rsid w:val="002F7025"/>
    <w:rsid w:val="00306467"/>
    <w:rsid w:val="0032028B"/>
    <w:rsid w:val="00332060"/>
    <w:rsid w:val="00345F7F"/>
    <w:rsid w:val="00352030"/>
    <w:rsid w:val="00363758"/>
    <w:rsid w:val="00372382"/>
    <w:rsid w:val="003913BC"/>
    <w:rsid w:val="003C56A4"/>
    <w:rsid w:val="003C659A"/>
    <w:rsid w:val="003D399B"/>
    <w:rsid w:val="004059C8"/>
    <w:rsid w:val="00431B57"/>
    <w:rsid w:val="00455EE5"/>
    <w:rsid w:val="00464923"/>
    <w:rsid w:val="004D7CED"/>
    <w:rsid w:val="00516C8F"/>
    <w:rsid w:val="00547CD8"/>
    <w:rsid w:val="0059122C"/>
    <w:rsid w:val="005A4ACC"/>
    <w:rsid w:val="005E0FB2"/>
    <w:rsid w:val="005E3BF2"/>
    <w:rsid w:val="0061198C"/>
    <w:rsid w:val="00625483"/>
    <w:rsid w:val="006258C3"/>
    <w:rsid w:val="006437CE"/>
    <w:rsid w:val="006701BF"/>
    <w:rsid w:val="00677111"/>
    <w:rsid w:val="00695524"/>
    <w:rsid w:val="006A7BD2"/>
    <w:rsid w:val="006C4B18"/>
    <w:rsid w:val="006E4311"/>
    <w:rsid w:val="00734F16"/>
    <w:rsid w:val="00734F67"/>
    <w:rsid w:val="00751EDE"/>
    <w:rsid w:val="007729B7"/>
    <w:rsid w:val="00784B6F"/>
    <w:rsid w:val="007A5422"/>
    <w:rsid w:val="007B639E"/>
    <w:rsid w:val="007B66E2"/>
    <w:rsid w:val="00800A81"/>
    <w:rsid w:val="00816F15"/>
    <w:rsid w:val="008324CF"/>
    <w:rsid w:val="00855EB2"/>
    <w:rsid w:val="008B4316"/>
    <w:rsid w:val="008C180D"/>
    <w:rsid w:val="008C289C"/>
    <w:rsid w:val="008E4575"/>
    <w:rsid w:val="008F004A"/>
    <w:rsid w:val="008F3CF2"/>
    <w:rsid w:val="00923271"/>
    <w:rsid w:val="00941149"/>
    <w:rsid w:val="009454E7"/>
    <w:rsid w:val="009D79CE"/>
    <w:rsid w:val="00A05FFD"/>
    <w:rsid w:val="00A11460"/>
    <w:rsid w:val="00A27033"/>
    <w:rsid w:val="00A74713"/>
    <w:rsid w:val="00A92776"/>
    <w:rsid w:val="00AA416D"/>
    <w:rsid w:val="00AB6558"/>
    <w:rsid w:val="00AD4486"/>
    <w:rsid w:val="00AE472D"/>
    <w:rsid w:val="00AF25F6"/>
    <w:rsid w:val="00B25338"/>
    <w:rsid w:val="00B60E2F"/>
    <w:rsid w:val="00B658A2"/>
    <w:rsid w:val="00B745B9"/>
    <w:rsid w:val="00BA38BA"/>
    <w:rsid w:val="00C20721"/>
    <w:rsid w:val="00C41E46"/>
    <w:rsid w:val="00C703AC"/>
    <w:rsid w:val="00C74D24"/>
    <w:rsid w:val="00C81D53"/>
    <w:rsid w:val="00C84503"/>
    <w:rsid w:val="00CD7014"/>
    <w:rsid w:val="00CF09AC"/>
    <w:rsid w:val="00CF172D"/>
    <w:rsid w:val="00D201C6"/>
    <w:rsid w:val="00D3381C"/>
    <w:rsid w:val="00D3422A"/>
    <w:rsid w:val="00D608FB"/>
    <w:rsid w:val="00D7358B"/>
    <w:rsid w:val="00D73771"/>
    <w:rsid w:val="00D974B7"/>
    <w:rsid w:val="00E13D1B"/>
    <w:rsid w:val="00E76D11"/>
    <w:rsid w:val="00E907A9"/>
    <w:rsid w:val="00EA68DC"/>
    <w:rsid w:val="00EB5C1C"/>
    <w:rsid w:val="00EC60B3"/>
    <w:rsid w:val="00ED1904"/>
    <w:rsid w:val="00ED3E8B"/>
    <w:rsid w:val="00EE746F"/>
    <w:rsid w:val="00F11560"/>
    <w:rsid w:val="00F21E2D"/>
    <w:rsid w:val="00F523CE"/>
    <w:rsid w:val="00F56225"/>
    <w:rsid w:val="00F64AFC"/>
    <w:rsid w:val="00F90C5D"/>
    <w:rsid w:val="00F91820"/>
    <w:rsid w:val="00FA33FB"/>
    <w:rsid w:val="00FF31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562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unhideWhenUsed/>
    <w:rsid w:val="00D20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D1662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7A9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0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63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4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7b%5elink%7d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%7b%5elink%7d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%7b%5elink%7d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%7b%5elink%7d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51BA10-1CCD-4FB0-AED0-43B2A8060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2018-08-09T09:34:00Z</dcterms:modified>
  <cp:contentStatus/>
</cp:coreProperties>
</file>