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p>
      <w:pPr>
        <w:spacing w:line="360" w:lineRule="auto"/>
        <w:ind w:firstLine="480"/>
      </w:pPr>
      <w:r>
        <w:rPr>
          <w:rFonts w:ascii="宋体" w:hAnsi="宋体" w:eastAsia="宋体"/>
          <w:b w:val="0"/>
          <w:sz w:val="24"/>
        </w:rPr>
        <w:t>| 功能编号 | 功能名称 | 输入 | 输出 | 说明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A01 | 查看系统概览 | 管理员 token | 用户数、会话数、消息数、日志数 | 用于答辩演示与运行分析 |</w:t>
      </w:r>
    </w:p>
    <w:p>
      <w:pPr>
        <w:spacing w:line="360" w:lineRule="auto"/>
        <w:ind w:firstLine="480"/>
      </w:pPr>
      <w:r>
        <w:rPr>
          <w:rFonts w:ascii="宋体" w:hAnsi="宋体" w:eastAsia="宋体"/>
          <w:b w:val="0"/>
          <w:sz w:val="24"/>
        </w:rPr>
        <w:t>| A02 | 查看系统日志 | 管理员 token | 日志列表 | 查看登录、问答、配置修改等事件 |</w:t>
      </w:r>
    </w:p>
    <w:p>
      <w:pPr>
        <w:spacing w:line="360" w:lineRule="auto"/>
        <w:ind w:firstLine="480"/>
      </w:pPr>
      <w:r>
        <w:rPr>
          <w:rFonts w:ascii="宋体" w:hAnsi="宋体" w:eastAsia="宋体"/>
          <w:b w:val="0"/>
          <w:sz w:val="24"/>
        </w:rPr>
        <w:t>| A03 | 修改系统配置 | 配置键、配置值 | 最新配置 | 用于切换模型名或超时策略 |</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session_code | varchar | 64 | 会话唯一标识 |</w:t>
      </w:r>
    </w:p>
    <w:p>
      <w:pPr>
        <w:spacing w:line="360" w:lineRule="auto"/>
        <w:ind w:firstLine="480"/>
      </w:pPr>
      <w:r>
        <w:rPr>
          <w:rFonts w:ascii="宋体" w:hAnsi="宋体" w:eastAsia="宋体"/>
          <w:b w:val="0"/>
          <w:sz w:val="24"/>
        </w:rPr>
        <w:t>| user_id | int | 11 | 用户编号 |</w:t>
      </w:r>
    </w:p>
    <w:p>
      <w:pPr>
        <w:spacing w:line="360" w:lineRule="auto"/>
        <w:ind w:firstLine="480"/>
      </w:pPr>
      <w:r>
        <w:rPr>
          <w:rFonts w:ascii="宋体" w:hAnsi="宋体" w:eastAsia="宋体"/>
          <w:b w:val="0"/>
          <w:sz w:val="24"/>
        </w:rPr>
        <w:t>| title | varchar | 128 | 会话标题 |</w:t>
      </w:r>
    </w:p>
    <w:p>
      <w:pPr>
        <w:spacing w:line="360" w:lineRule="auto"/>
        <w:ind w:firstLine="480"/>
      </w:pPr>
      <w:r>
        <w:rPr>
          <w:rFonts w:ascii="宋体" w:hAnsi="宋体" w:eastAsia="宋体"/>
          <w:b w:val="0"/>
          <w:sz w:val="24"/>
        </w:rPr>
        <w:t>| created_at | datetime | 8 | 创建时间 |</w:t>
      </w:r>
    </w:p>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session_id | int | 11 | 所属会话 |</w:t>
      </w:r>
    </w:p>
    <w:p>
      <w:pPr>
        <w:spacing w:line="360" w:lineRule="auto"/>
        <w:ind w:firstLine="480"/>
      </w:pPr>
      <w:r>
        <w:rPr>
          <w:rFonts w:ascii="宋体" w:hAnsi="宋体" w:eastAsia="宋体"/>
          <w:b w:val="0"/>
          <w:sz w:val="24"/>
        </w:rPr>
        <w:t>| user_message | text | - | 用户问题 |</w:t>
      </w:r>
    </w:p>
    <w:p>
      <w:pPr>
        <w:spacing w:line="360" w:lineRule="auto"/>
        <w:ind w:firstLine="480"/>
      </w:pPr>
      <w:r>
        <w:rPr>
          <w:rFonts w:ascii="宋体" w:hAnsi="宋体" w:eastAsia="宋体"/>
          <w:b w:val="0"/>
          <w:sz w:val="24"/>
        </w:rPr>
        <w:t>| assistant_message | text | - | 模型回答 |</w:t>
      </w:r>
    </w:p>
    <w:p>
      <w:pPr>
        <w:spacing w:line="360" w:lineRule="auto"/>
        <w:ind w:firstLine="480"/>
      </w:pPr>
      <w:r>
        <w:rPr>
          <w:rFonts w:ascii="宋体" w:hAnsi="宋体" w:eastAsia="宋体"/>
          <w:b w:val="0"/>
          <w:sz w:val="24"/>
        </w:rPr>
        <w:t>| created_at | datetime | 8 | 发送时间 |</w:t>
      </w:r>
    </w:p>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level | varchar | 16 | 日志级别 |</w:t>
      </w:r>
    </w:p>
    <w:p>
      <w:pPr>
        <w:spacing w:line="360" w:lineRule="auto"/>
        <w:ind w:firstLine="480"/>
      </w:pPr>
      <w:r>
        <w:rPr>
          <w:rFonts w:ascii="宋体" w:hAnsi="宋体" w:eastAsia="宋体"/>
          <w:b w:val="0"/>
          <w:sz w:val="24"/>
        </w:rPr>
        <w:t>| event_type | varchar | 32 | 事件类型 |</w:t>
      </w:r>
    </w:p>
    <w:p>
      <w:pPr>
        <w:spacing w:line="360" w:lineRule="auto"/>
        <w:ind w:firstLine="480"/>
      </w:pPr>
      <w:r>
        <w:rPr>
          <w:rFonts w:ascii="宋体" w:hAnsi="宋体" w:eastAsia="宋体"/>
          <w:b w:val="0"/>
          <w:sz w:val="24"/>
        </w:rPr>
        <w:t>| message | text | - | 日志描述 |</w:t>
      </w:r>
    </w:p>
    <w:p>
      <w:pPr>
        <w:spacing w:line="360" w:lineRule="auto"/>
        <w:ind w:firstLine="480"/>
      </w:pPr>
      <w:r>
        <w:rPr>
          <w:rFonts w:ascii="宋体" w:hAnsi="宋体" w:eastAsia="宋体"/>
          <w:b w:val="0"/>
          <w:sz w:val="24"/>
        </w:rPr>
        <w:t>| created_at | datetime | 8 | 记录时间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为进一步增强论文表达的完整性，正式定稿时还应补充问答处理时序图，用于说明浏览器、C++ 网关、Python 服务和模型接口之间的调用先后关系。建议将该图编号为图4-3 问答处理时序图。</w:t>
      </w:r>
    </w:p>
    <w:p/>
    <w:p>
      <w:pPr>
        <w:spacing w:line="360" w:lineRule="auto"/>
        <w:ind w:firstLine="480"/>
      </w:pPr>
      <w:r>
        <w:rPr>
          <w:rFonts w:ascii="宋体" w:hAnsi="宋体" w:eastAsia="宋体"/>
          <w:b w:val="0"/>
          <w:sz w:val="24"/>
        </w:rPr>
        <w:t>在数据库设计表达方面，建议补充系统 E-R 图，用于展示用户实体、会话实体、消息实体、日志实体以及配置实体之间的关联关系。建议将该图编号为图4-4 系统 E-R 图。</w:t>
      </w:r>
    </w:p>
    <w:p/>
    <w:p>
      <w:pPr>
        <w:spacing w:line="360" w:lineRule="auto"/>
        <w:ind w:firstLine="0"/>
      </w:pPr>
      <w:r>
        <w:rPr>
          <w:rFonts w:ascii="宋体" w:hAnsi="宋体" w:eastAsia="宋体"/>
          <w:b/>
          <w:sz w:val="24"/>
        </w:rPr>
        <w:t>4.6 跨环境部署设计</w:t>
      </w:r>
    </w:p>
    <w:p/>
    <w:p>
      <w:pPr>
        <w:spacing w:line="360" w:lineRule="auto"/>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
      <w:pPr>
        <w:spacing w:line="360" w:lineRule="auto"/>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
      <w:pPr>
        <w:spacing w:line="360" w:lineRule="auto"/>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
      <w:pPr>
        <w:spacing w:line="360" w:lineRule="auto"/>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
      <w:pPr>
        <w:spacing w:line="360" w:lineRule="auto"/>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系统为每个客户端连接维护超时信息，通过定时器定期扫描长时间无活动连接并主动关闭，以防止连接长期占用系统资源。</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服务提供统一的问答接口，例如 `/api/ask`。该接口接收用户问题、会话编号和可选上下文信息，完成输入校验后调用模型服务。</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前端页面主要包括登录页、问答主页、历史记录页和管理员页面。问答主页用于展示用户输入框、对话气泡和返回内容；管理员页面用于查看系统概览、日志、模型参数配置和运行状态。前端通过 AJAX 或 Fetch 接口向后端发送请求，实现异步交互。</w:t>
      </w:r>
    </w:p>
    <w:p/>
    <w:p>
      <w:pPr>
        <w:spacing w:line="360" w:lineRule="auto"/>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
      <w:pPr>
        <w:spacing w:line="360" w:lineRule="auto"/>
        <w:ind w:firstLine="480"/>
      </w:pPr>
      <w:r>
        <w:rPr>
          <w:rFonts w:ascii="宋体" w:hAnsi="宋体" w:eastAsia="宋体"/>
          <w:b w:val="0"/>
          <w:sz w:val="24"/>
        </w:rPr>
        <w:t>为便于部署检查，Python 服务额外提供 `/api/health` 健康检查接口，返回服务状态、当前运行模式、模型名称和会话数量等基础信息。配合 `verify_runtime.ps1` 与 `verify_runtime.sh` 脚本，系统可以在不同环境下用统一方式验证“服务启动成功、登录成功、问答成功”这条最小主链路。</w:t>
      </w:r>
    </w:p>
    <w:p/>
    <w:p>
      <w:pPr>
        <w:spacing w:line="360" w:lineRule="auto"/>
        <w:ind w:firstLine="480"/>
      </w:pPr>
      <w:r>
        <w:rPr>
          <w:rFonts w:ascii="宋体" w:hAnsi="宋体" w:eastAsia="宋体"/>
          <w:b w:val="0"/>
          <w:sz w:val="24"/>
        </w:rPr>
        <w:t>针对 Linux / WSL 下的网关专项验证，系统额外提供 `start_gateway_wsl.sh` 脚本，用于按统一环境变量启动 epoll 网关，并结合 `verify_gateway_smoke.sh` 对历史记录接口进行补充验证。这种做法降低了联调时对人工输入命令的依赖，提高了实验复现效率。</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管理员访问系统概览接口 | 返回系统概览数据 | 返回用户数、会话数、消息数等指标 | 通过 |</w:t>
      </w:r>
    </w:p>
    <w:p>
      <w:pPr>
        <w:spacing w:line="360" w:lineRule="auto"/>
        <w:ind w:firstLine="480"/>
      </w:pPr>
      <w:r>
        <w:rPr>
          <w:rFonts w:ascii="宋体" w:hAnsi="宋体" w:eastAsia="宋体"/>
          <w:b w:val="0"/>
          <w:sz w:val="24"/>
        </w:rPr>
        <w:t>| 2 | 管理员访问日志接口 | 返回日志列表 | 返回登录、问答、配置更新日志 | 通过 |</w:t>
      </w:r>
    </w:p>
    <w:p>
      <w:pPr>
        <w:spacing w:line="360" w:lineRule="auto"/>
        <w:ind w:firstLine="480"/>
      </w:pPr>
      <w:r>
        <w:rPr>
          <w:rFonts w:ascii="宋体" w:hAnsi="宋体" w:eastAsia="宋体"/>
          <w:b w:val="0"/>
          <w:sz w:val="24"/>
        </w:rPr>
        <w:t>| 3 | 普通用户访问管理员日志 | 返回权限错误 | 返回 403 权限错误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在测试方法上，系统提供 `scripts/benchmark_gateway.py` 作为统一压测入口。该脚本可分别对 `/api/health` 健康检查链路和 `/api/chat` 智能问答链路进行并发访问，运行时通过 `--requests` 设置总请求数，通过 `--concurrency` 设置并发数，并将测试结果保存为 JSON 文件。输出指标包括平均响应时间、P95 响应时间、`throughput_rps`、成功率、错误率和错误样例。与手工执行单条 curl 命令相比，该脚本能够保留实验参数和原始数据，便于论文实验结果复核。</w:t>
      </w:r>
    </w:p>
    <w:p/>
    <w:p>
      <w:pPr>
        <w:spacing w:line="360" w:lineRule="auto"/>
        <w:ind w:firstLine="480"/>
      </w:pPr>
      <w:r>
        <w:rPr>
          <w:rFonts w:ascii="宋体" w:hAnsi="宋体" w:eastAsia="宋体"/>
          <w:b w:val="0"/>
          <w:sz w:val="24"/>
        </w:rPr>
        <w:t>并发测试指标示例如表6-4所示。</w:t>
      </w:r>
    </w:p>
    <w:p>
      <w:pPr>
        <w:spacing w:line="360" w:lineRule="auto"/>
        <w:ind w:firstLine="480"/>
      </w:pPr>
      <w:r>
        <w:rPr>
          <w:rFonts w:ascii="宋体" w:hAnsi="宋体" w:eastAsia="宋体"/>
          <w:b w:val="0"/>
          <w:sz w:val="24"/>
        </w:rPr>
        <w:t>表6-4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环境适配与部署验证</w:t>
      </w:r>
    </w:p>
    <w:p/>
    <w:p>
      <w:pPr>
        <w:spacing w:line="360" w:lineRule="auto"/>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环境下保留完整部署与并发压测入口，用于后续进一步补充高并发实验数据。</w:t>
      </w:r>
    </w:p>
    <w:p/>
    <w:p>
      <w:pPr>
        <w:spacing w:line="360" w:lineRule="auto"/>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
      <w:pPr>
        <w:spacing w:line="360" w:lineRule="auto"/>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
      <w:pPr>
        <w:spacing w:line="360" w:lineRule="auto"/>
        <w:ind w:firstLine="0"/>
      </w:pPr>
      <w:r>
        <w:rPr>
          <w:rFonts w:ascii="宋体" w:hAnsi="宋体" w:eastAsia="宋体"/>
          <w:b/>
          <w:sz w:val="24"/>
        </w:rPr>
        <w:t>6.6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此外，从当前自动化测试结果来看，Python 业务层、API 层以及项目结构检查均已通过验证，说明系统的主链路具备较好的可运行性。后续若在 Linux 环境完成 C++ 网关编译与压力测试截图采集，则论文的实验部分还可进一步增强。</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