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480"/>
      </w:pPr>
      <w:r>
        <w:rPr>
          <w:rFonts w:ascii="宋体" w:hAnsi="宋体" w:eastAsia="宋体"/>
          <w:b w:val="0"/>
          <w:sz w:val="24"/>
        </w:rPr>
        <w:t>管理员功能用例如表3-1所示。</w:t>
      </w:r>
    </w:p>
    <w:p>
      <w:pPr>
        <w:spacing w:line="360" w:lineRule="auto"/>
        <w:ind w:firstLine="480"/>
      </w:pPr>
      <w:r>
        <w:rPr>
          <w:rFonts w:ascii="宋体" w:hAnsi="宋体" w:eastAsia="宋体"/>
          <w:b w:val="0"/>
          <w:sz w:val="24"/>
        </w:rPr>
        <w:t>表3-1 管理员核心功能说明</w:t>
      </w:r>
    </w:p>
    <w:p/>
    <w:p>
      <w:pPr>
        <w:spacing w:line="360" w:lineRule="auto"/>
        <w:ind w:firstLine="480"/>
      </w:pPr>
      <w:r>
        <w:rPr>
          <w:rFonts w:ascii="宋体" w:hAnsi="宋体" w:eastAsia="宋体"/>
          <w:b w:val="0"/>
          <w:sz w:val="24"/>
        </w:rPr>
        <w:t>| 功能编号 | 功能名称 | 输入 | 输出 | 说明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A01 | 查看系统概览 | 管理员 token | 用户数、会话数、消息数、日志数 | 用于答辩演示与运行分析 |</w:t>
      </w:r>
    </w:p>
    <w:p>
      <w:pPr>
        <w:spacing w:line="360" w:lineRule="auto"/>
        <w:ind w:firstLine="480"/>
      </w:pPr>
      <w:r>
        <w:rPr>
          <w:rFonts w:ascii="宋体" w:hAnsi="宋体" w:eastAsia="宋体"/>
          <w:b w:val="0"/>
          <w:sz w:val="24"/>
        </w:rPr>
        <w:t>| A02 | 查看系统日志 | 管理员 token | 日志列表 | 查看登录、问答、配置修改等事件 |</w:t>
      </w:r>
    </w:p>
    <w:p>
      <w:pPr>
        <w:spacing w:line="360" w:lineRule="auto"/>
        <w:ind w:firstLine="480"/>
      </w:pPr>
      <w:r>
        <w:rPr>
          <w:rFonts w:ascii="宋体" w:hAnsi="宋体" w:eastAsia="宋体"/>
          <w:b w:val="0"/>
          <w:sz w:val="24"/>
        </w:rPr>
        <w:t>| A03 | 修改系统配置 | 配置键、配置值 | 最新配置 | 用于切换模型名或超时策略 |</w:t>
      </w:r>
    </w:p>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系统核心用例包括用户登录、发起问答、查看历史记录、管理员查看日志、管理员维护配置等。后续撰写正式定稿时，可结合图例模板绘制用例图，并使用表格形式给出用例描述。</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username | varchar | 64 | 用户名 |</w:t>
      </w:r>
    </w:p>
    <w:p>
      <w:pPr>
        <w:spacing w:line="360" w:lineRule="auto"/>
        <w:ind w:firstLine="480"/>
      </w:pPr>
      <w:r>
        <w:rPr>
          <w:rFonts w:ascii="宋体" w:hAnsi="宋体" w:eastAsia="宋体"/>
          <w:b w:val="0"/>
          <w:sz w:val="24"/>
        </w:rPr>
        <w:t>| password | varchar | 128 | 密码摘要 |</w:t>
      </w:r>
    </w:p>
    <w:p>
      <w:pPr>
        <w:spacing w:line="360" w:lineRule="auto"/>
        <w:ind w:firstLine="480"/>
      </w:pPr>
      <w:r>
        <w:rPr>
          <w:rFonts w:ascii="宋体" w:hAnsi="宋体" w:eastAsia="宋体"/>
          <w:b w:val="0"/>
          <w:sz w:val="24"/>
        </w:rPr>
        <w:t>| role | varchar | 32 | 用户角色 |</w:t>
      </w:r>
    </w:p>
    <w:p>
      <w:pPr>
        <w:spacing w:line="360" w:lineRule="auto"/>
        <w:ind w:firstLine="480"/>
      </w:pPr>
      <w:r>
        <w:rPr>
          <w:rFonts w:ascii="宋体" w:hAnsi="宋体" w:eastAsia="宋体"/>
          <w:b w:val="0"/>
          <w:sz w:val="24"/>
        </w:rPr>
        <w:t>| create_time | datetime | 8 | 创建时间 |</w:t>
      </w:r>
    </w:p>
    <w:p/>
    <w:p>
      <w:pPr>
        <w:spacing w:line="360" w:lineRule="auto"/>
        <w:ind w:firstLine="480"/>
      </w:pPr>
      <w:r>
        <w:rPr>
          <w:rFonts w:ascii="宋体" w:hAnsi="宋体" w:eastAsia="宋体"/>
          <w:b w:val="0"/>
          <w:sz w:val="24"/>
        </w:rPr>
        <w:t>会话表结构如表4-2所示。</w:t>
      </w:r>
    </w:p>
    <w:p>
      <w:pPr>
        <w:spacing w:line="360" w:lineRule="auto"/>
        <w:ind w:firstLine="480"/>
      </w:pPr>
      <w:r>
        <w:rPr>
          <w:rFonts w:ascii="宋体" w:hAnsi="宋体" w:eastAsia="宋体"/>
          <w:b w:val="0"/>
          <w:sz w:val="24"/>
        </w:rPr>
        <w:t>表4-2 会话表结构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session_code | varchar | 64 | 会话唯一标识 |</w:t>
      </w:r>
    </w:p>
    <w:p>
      <w:pPr>
        <w:spacing w:line="360" w:lineRule="auto"/>
        <w:ind w:firstLine="480"/>
      </w:pPr>
      <w:r>
        <w:rPr>
          <w:rFonts w:ascii="宋体" w:hAnsi="宋体" w:eastAsia="宋体"/>
          <w:b w:val="0"/>
          <w:sz w:val="24"/>
        </w:rPr>
        <w:t>| user_id | int | 11 | 用户编号 |</w:t>
      </w:r>
    </w:p>
    <w:p>
      <w:pPr>
        <w:spacing w:line="360" w:lineRule="auto"/>
        <w:ind w:firstLine="480"/>
      </w:pPr>
      <w:r>
        <w:rPr>
          <w:rFonts w:ascii="宋体" w:hAnsi="宋体" w:eastAsia="宋体"/>
          <w:b w:val="0"/>
          <w:sz w:val="24"/>
        </w:rPr>
        <w:t>| title | varchar | 128 | 会话标题 |</w:t>
      </w:r>
    </w:p>
    <w:p>
      <w:pPr>
        <w:spacing w:line="360" w:lineRule="auto"/>
        <w:ind w:firstLine="480"/>
      </w:pPr>
      <w:r>
        <w:rPr>
          <w:rFonts w:ascii="宋体" w:hAnsi="宋体" w:eastAsia="宋体"/>
          <w:b w:val="0"/>
          <w:sz w:val="24"/>
        </w:rPr>
        <w:t>| created_at | datetime | 8 | 创建时间 |</w:t>
      </w:r>
    </w:p>
    <w:p/>
    <w:p>
      <w:pPr>
        <w:spacing w:line="360" w:lineRule="auto"/>
        <w:ind w:firstLine="480"/>
      </w:pPr>
      <w:r>
        <w:rPr>
          <w:rFonts w:ascii="宋体" w:hAnsi="宋体" w:eastAsia="宋体"/>
          <w:b w:val="0"/>
          <w:sz w:val="24"/>
        </w:rPr>
        <w:t>消息表结构如表4-3所示。</w:t>
      </w:r>
    </w:p>
    <w:p>
      <w:pPr>
        <w:spacing w:line="360" w:lineRule="auto"/>
        <w:ind w:firstLine="480"/>
      </w:pPr>
      <w:r>
        <w:rPr>
          <w:rFonts w:ascii="宋体" w:hAnsi="宋体" w:eastAsia="宋体"/>
          <w:b w:val="0"/>
          <w:sz w:val="24"/>
        </w:rPr>
        <w:t>表4-3 消息表结构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session_id | int | 11 | 所属会话 |</w:t>
      </w:r>
    </w:p>
    <w:p>
      <w:pPr>
        <w:spacing w:line="360" w:lineRule="auto"/>
        <w:ind w:firstLine="480"/>
      </w:pPr>
      <w:r>
        <w:rPr>
          <w:rFonts w:ascii="宋体" w:hAnsi="宋体" w:eastAsia="宋体"/>
          <w:b w:val="0"/>
          <w:sz w:val="24"/>
        </w:rPr>
        <w:t>| user_message | text | - | 用户问题 |</w:t>
      </w:r>
    </w:p>
    <w:p>
      <w:pPr>
        <w:spacing w:line="360" w:lineRule="auto"/>
        <w:ind w:firstLine="480"/>
      </w:pPr>
      <w:r>
        <w:rPr>
          <w:rFonts w:ascii="宋体" w:hAnsi="宋体" w:eastAsia="宋体"/>
          <w:b w:val="0"/>
          <w:sz w:val="24"/>
        </w:rPr>
        <w:t>| assistant_message | text | - | 模型回答 |</w:t>
      </w:r>
    </w:p>
    <w:p>
      <w:pPr>
        <w:spacing w:line="360" w:lineRule="auto"/>
        <w:ind w:firstLine="480"/>
      </w:pPr>
      <w:r>
        <w:rPr>
          <w:rFonts w:ascii="宋体" w:hAnsi="宋体" w:eastAsia="宋体"/>
          <w:b w:val="0"/>
          <w:sz w:val="24"/>
        </w:rPr>
        <w:t>| created_at | datetime | 8 | 发送时间 |</w:t>
      </w:r>
    </w:p>
    <w:p/>
    <w:p>
      <w:pPr>
        <w:spacing w:line="360" w:lineRule="auto"/>
        <w:ind w:firstLine="480"/>
      </w:pPr>
      <w:r>
        <w:rPr>
          <w:rFonts w:ascii="宋体" w:hAnsi="宋体" w:eastAsia="宋体"/>
          <w:b w:val="0"/>
          <w:sz w:val="24"/>
        </w:rPr>
        <w:t>日志表结构如表4-4所示。</w:t>
      </w:r>
    </w:p>
    <w:p>
      <w:pPr>
        <w:spacing w:line="360" w:lineRule="auto"/>
        <w:ind w:firstLine="480"/>
      </w:pPr>
      <w:r>
        <w:rPr>
          <w:rFonts w:ascii="宋体" w:hAnsi="宋体" w:eastAsia="宋体"/>
          <w:b w:val="0"/>
          <w:sz w:val="24"/>
        </w:rPr>
        <w:t>表4-4 日志表结构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level | varchar | 16 | 日志级别 |</w:t>
      </w:r>
    </w:p>
    <w:p>
      <w:pPr>
        <w:spacing w:line="360" w:lineRule="auto"/>
        <w:ind w:firstLine="480"/>
      </w:pPr>
      <w:r>
        <w:rPr>
          <w:rFonts w:ascii="宋体" w:hAnsi="宋体" w:eastAsia="宋体"/>
          <w:b w:val="0"/>
          <w:sz w:val="24"/>
        </w:rPr>
        <w:t>| event_type | varchar | 32 | 事件类型 |</w:t>
      </w:r>
    </w:p>
    <w:p>
      <w:pPr>
        <w:spacing w:line="360" w:lineRule="auto"/>
        <w:ind w:firstLine="480"/>
      </w:pPr>
      <w:r>
        <w:rPr>
          <w:rFonts w:ascii="宋体" w:hAnsi="宋体" w:eastAsia="宋体"/>
          <w:b w:val="0"/>
          <w:sz w:val="24"/>
        </w:rPr>
        <w:t>| message | text | - | 日志描述 |</w:t>
      </w:r>
    </w:p>
    <w:p>
      <w:pPr>
        <w:spacing w:line="360" w:lineRule="auto"/>
        <w:ind w:firstLine="480"/>
      </w:pPr>
      <w:r>
        <w:rPr>
          <w:rFonts w:ascii="宋体" w:hAnsi="宋体" w:eastAsia="宋体"/>
          <w:b w:val="0"/>
          <w:sz w:val="24"/>
        </w:rPr>
        <w:t>| created_at | datetime | 8 | 记录时间 |</w:t>
      </w:r>
    </w:p>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spacing w:line="360" w:lineRule="auto"/>
        <w:ind w:firstLine="480"/>
      </w:pPr>
      <w:r>
        <w:rPr>
          <w:rFonts w:ascii="宋体" w:hAnsi="宋体" w:eastAsia="宋体"/>
          <w:b w:val="0"/>
          <w:sz w:val="24"/>
        </w:rPr>
        <w:t>图4-2 智能问答处理流程图</w:t>
      </w:r>
    </w:p>
    <w:p/>
    <w:p>
      <w:pPr>
        <w:spacing w:line="360" w:lineRule="auto"/>
        <w:ind w:firstLine="480"/>
      </w:pPr>
      <w:r>
        <w:rPr>
          <w:rFonts w:ascii="宋体" w:hAnsi="宋体" w:eastAsia="宋体"/>
          <w:b w:val="0"/>
          <w:sz w:val="24"/>
        </w:rPr>
        <w:t>为进一步增强论文表达的完整性，正式定稿时还应补充问答处理时序图，用于说明浏览器、C++ 网关、Python 服务和模型接口之间的调用先后关系。建议将该图编号为图4-3 问答处理时序图。</w:t>
      </w:r>
    </w:p>
    <w:p/>
    <w:p>
      <w:pPr>
        <w:spacing w:line="360" w:lineRule="auto"/>
        <w:ind w:firstLine="480"/>
      </w:pPr>
      <w:r>
        <w:rPr>
          <w:rFonts w:ascii="宋体" w:hAnsi="宋体" w:eastAsia="宋体"/>
          <w:b w:val="0"/>
          <w:sz w:val="24"/>
        </w:rPr>
        <w:t>在数据库设计表达方面，建议补充系统 E-R 图，用于展示用户实体、会话实体、消息实体、日志实体以及配置实体之间的关联关系。建议将该图编号为图4-4 系统 E-R 图。</w:t>
      </w:r>
    </w:p>
    <w:p/>
    <w:p>
      <w:pPr>
        <w:spacing w:line="360" w:lineRule="auto"/>
        <w:ind w:firstLine="0"/>
      </w:pPr>
      <w:r>
        <w:rPr>
          <w:rFonts w:ascii="宋体" w:hAnsi="宋体" w:eastAsia="宋体"/>
          <w:b/>
          <w:sz w:val="24"/>
        </w:rPr>
        <w:t>4.6 跨环境部署设计</w:t>
      </w:r>
    </w:p>
    <w:p/>
    <w:p>
      <w:pPr>
        <w:spacing w:line="360" w:lineRule="auto"/>
        <w:ind w:firstLine="480"/>
      </w:pPr>
      <w:r>
        <w:rPr>
          <w:rFonts w:ascii="宋体" w:hAnsi="宋体" w:eastAsia="宋体"/>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
      <w:pPr>
        <w:spacing w:line="360" w:lineRule="auto"/>
        <w:ind w:firstLine="480"/>
      </w:pPr>
      <w:r>
        <w:rPr>
          <w:rFonts w:ascii="宋体" w:hAnsi="宋体" w:eastAsia="宋体"/>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
      <w:pPr>
        <w:spacing w:line="360" w:lineRule="auto"/>
        <w:ind w:firstLine="480"/>
      </w:pPr>
      <w:r>
        <w:rPr>
          <w:rFonts w:ascii="宋体" w:hAnsi="宋体" w:eastAsia="宋体"/>
          <w:b w:val="0"/>
          <w:sz w:val="24"/>
        </w:rPr>
        <w:t>为了降低不同环境下的部署歧义，项目根目录统一提供 .env.example 作为环境变量模板，用于约定模型接口地址、端口号和运行参数；同时系统定义 /api/health 作为统一健康检查接口，使得 Windows、Linux 和 WSL 三类环境均可以通过相同方式完成最小可运行验证。</w:t>
      </w:r>
    </w:p>
    <w:p/>
    <w:p>
      <w:pPr>
        <w:spacing w:line="360" w:lineRule="auto"/>
        <w:ind w:firstLine="480"/>
      </w:pPr>
      <w:r>
        <w:rPr>
          <w:rFonts w:ascii="宋体" w:hAnsi="宋体" w:eastAsia="宋体"/>
          <w:b w:val="0"/>
          <w:sz w:val="24"/>
        </w:rPr>
        <w:t>在高并发专项层中，C++ 网关默认监听 8080 端口并转发到 127.0.0.1:8000 的 Python 服务，同时支持通过 GATEWAY_PORT、UPSTREAM_HOST、UPSTREAM_PORT 等环境变量覆盖默认配置，从而适应 WSL 与 Linux 下不同的联调和部署拓扑。</w:t>
      </w:r>
    </w:p>
    <w:p/>
    <w:p>
      <w:pPr>
        <w:spacing w:line="360" w:lineRule="auto"/>
        <w:ind w:firstLine="480"/>
      </w:pPr>
      <w:r>
        <w:rPr>
          <w:rFonts w:ascii="宋体" w:hAnsi="宋体" w:eastAsia="宋体"/>
          <w:b w:val="0"/>
          <w:sz w:val="24"/>
        </w:rPr>
        <w:t>这种设计既保证了整套项目在 Windows、Linux、WSL 下均有明确运行路径，又保留了题目中 C++ 高并发架构的核心亮点，使论文中的技术路线与工程实现能够保持一致。</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系统在当前实现中采用轻量级 HTTP 报文解析流程，重点解析请求行、请求方法、访问路径和消息体内容。由于网关主要承担前端到 Python 服务的请求转发任务，因此当前版本优先保证 GET 与 POST 主链路的正确转发，并通过统一错误响应处理异常请求。</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监听连接事件并将客户端请求封装成任务，工作线程负责执行请求读取、上游转发、响应回写和连接关闭等操作。该设计避免所有请求都阻塞在主事件循环中，使接入层能够同时处理多个客户端连接。</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系统在转发到 Python 服务时设置上游连接超时和读写超时。网关使用非阻塞 connect 配合 select 检查连接建立状态，避免上游服务未启动或端口不可达时线程长期阻塞；同时通过 SO_RCVTIMEO 和 SO_SNDTIMEO 控制上游读写等待时间。当上游不可用时，网关返回 502 Bad Gateway 风格的 JSON 错误响应，从而保证异常场景下仍能给调用方明确反馈。</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 HTTP 接口，包括健康检查、用户登录、智能问答、历史记录、管理员日志、系统配置和后台概览等接口。智能问答接口接收用户 token 和问题内容，完成身份校验后调用模型服务或演示模式回答逻辑，并将会话消息写入仓储层。</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前端页面主要包括登录页、问答主页、历史记录页和管理员页面。问答主页用于展示用户输入框、对话气泡和返回内容；管理员页面用于查看系统概览、日志、模型参数配置和运行状态。前端通过 AJAX 或 Fetch 接口向后端发送请求，实现异步交互。</w:t>
      </w:r>
    </w:p>
    <w:p/>
    <w:p>
      <w:pPr>
        <w:spacing w:line="360" w:lineRule="auto"/>
        <w:ind w:firstLine="480"/>
      </w:pPr>
      <w:r>
        <w:rPr>
          <w:rFonts w:ascii="宋体" w:hAnsi="宋体" w:eastAsia="宋体"/>
          <w:b w:val="0"/>
          <w:sz w:val="24"/>
        </w:rPr>
        <w:t>为了适配不同环境下的运行方式，前端增加了运行时配置脚本。当前端以默认模式启动时，页面直连 Python 服务，适合 Windows、Linux 和 WSL 的通用演示；当页面以 mode=gateway 参数启动时，前端自动将请求发送给 8080 端口的 C++ 网关，从而展示 Linux/WSL 环境下的高并发接入层转发能力。</w:t>
      </w:r>
    </w:p>
    <w:p/>
    <w:p>
      <w:pPr>
        <w:spacing w:line="360" w:lineRule="auto"/>
        <w:ind w:firstLine="480"/>
      </w:pPr>
      <w:r>
        <w:rPr>
          <w:rFonts w:ascii="宋体" w:hAnsi="宋体" w:eastAsia="宋体"/>
          <w:b w:val="0"/>
          <w:sz w:val="24"/>
        </w:rPr>
        <w:t>为便于部署检查，Python 服务额外提供 /api/health 健康检查接口，返回服务状态、当前运行模式、存储模式、模型名称和会话数量等基础信息。配合 verify_runtime.ps1 与 verify_runtime.sh 脚本，系统可以在不同环境下用统一方式验证“服务启动成功、登录成功、问答成功”这条最小主链路。</w:t>
      </w:r>
    </w:p>
    <w:p/>
    <w:p>
      <w:pPr>
        <w:spacing w:line="360" w:lineRule="auto"/>
        <w:ind w:firstLine="480"/>
      </w:pPr>
      <w:r>
        <w:rPr>
          <w:rFonts w:ascii="宋体" w:hAnsi="宋体" w:eastAsia="宋体"/>
          <w:b w:val="0"/>
          <w:sz w:val="24"/>
        </w:rPr>
        <w:t>针对 Linux / WSL 下的网关专项验证，系统额外提供 start_gateway_wsl.sh 脚本，用于按统一环境变量启动 epoll 网关，并结合 verify_gateway_smoke.sh 对历史记录接口进行补充验证。这种做法降低了联调时对人工输入命令的依赖，提高了实验复现效率。</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C++ 网关转发实现</w:t>
      </w:r>
    </w:p>
    <w:p/>
    <w:p>
      <w:pPr>
        <w:spacing w:line="360" w:lineRule="auto"/>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
      <w:pPr>
        <w:spacing w:line="360" w:lineRule="auto"/>
        <w:ind w:firstLine="480"/>
      </w:pPr>
      <w:r>
        <w:rPr>
          <w:rFonts w:ascii="宋体" w:hAnsi="宋体" w:eastAsia="宋体"/>
          <w:b w:val="0"/>
          <w:sz w:val="24"/>
        </w:rPr>
        <w:t>在实际联调中，Windows 侧启动 Python FastAPI 服务后，WSL 侧通过 build_gateway_wsl.sh 完成 C++ 网关编译。由于测试环境中未安装 CMake，构建脚本自动回退到 g++ 直接编译方式并生成可执行文件。随后通过 GATEWAY_PORT、UPSTREAM_HOST、UPSTREAM_PORT 配置网关监听端口与上游地址，并使用 verify_runtime.sh gateway 与 verify_gateway_smoke.sh 完成接口验证。验证结果表明，系统可以经由 C++ 网关访问健康检查、用户登录、智能问答和历史记录接口；当上游端口指向未监听端口时，网关返回 502 Bad Gateway 错误响应，说明转发成功路径和异常路径均具备可验证性。</w:t>
      </w:r>
    </w:p>
    <w:p/>
    <w:p>
      <w:pPr>
        <w:spacing w:line="360" w:lineRule="auto"/>
        <w:ind w:firstLine="0"/>
      </w:pPr>
      <w:r>
        <w:rPr>
          <w:rFonts w:ascii="宋体" w:hAnsi="宋体" w:eastAsia="宋体"/>
          <w:b/>
          <w:sz w:val="24"/>
        </w:rPr>
        <w:t>5.7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p>
      <w:pPr>
        <w:spacing w:line="360" w:lineRule="auto"/>
        <w:ind w:firstLine="480"/>
      </w:pPr>
      <w:r>
        <w:rPr>
          <w:rFonts w:ascii="宋体" w:hAnsi="宋体" w:eastAsia="宋体"/>
          <w:b w:val="0"/>
          <w:sz w:val="24"/>
        </w:rPr>
        <w:t>| 序号 | 输入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用户名为空，密码为空 | 提示输入信息不完整 | 提示输入信息不完整 | 通过 |</w:t>
      </w:r>
    </w:p>
    <w:p>
      <w:pPr>
        <w:spacing w:line="360" w:lineRule="auto"/>
        <w:ind w:firstLine="480"/>
      </w:pPr>
      <w:r>
        <w:rPr>
          <w:rFonts w:ascii="宋体" w:hAnsi="宋体" w:eastAsia="宋体"/>
          <w:b w:val="0"/>
          <w:sz w:val="24"/>
        </w:rPr>
        <w:t>| 2 | 用户名正确，密码错误 | 提示密码错误 | 提示密码错误 | 通过 |</w:t>
      </w:r>
    </w:p>
    <w:p>
      <w:pPr>
        <w:spacing w:line="360" w:lineRule="auto"/>
        <w:ind w:firstLine="480"/>
      </w:pPr>
      <w:r>
        <w:rPr>
          <w:rFonts w:ascii="宋体" w:hAnsi="宋体" w:eastAsia="宋体"/>
          <w:b w:val="0"/>
          <w:sz w:val="24"/>
        </w:rPr>
        <w:t>| 3 | 用户名正确，密码正确 | 登录成功并跳转主页 | 登录成功并跳转主页 | 通过 |</w:t>
      </w:r>
    </w:p>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输入普通问题并提交 | 系统返回合理答案 | 系统返回合理答案 | 通过 |</w:t>
      </w:r>
    </w:p>
    <w:p>
      <w:pPr>
        <w:spacing w:line="360" w:lineRule="auto"/>
        <w:ind w:firstLine="480"/>
      </w:pPr>
      <w:r>
        <w:rPr>
          <w:rFonts w:ascii="宋体" w:hAnsi="宋体" w:eastAsia="宋体"/>
          <w:b w:val="0"/>
          <w:sz w:val="24"/>
        </w:rPr>
        <w:t>| 2 | 连续发起多轮提问 | 能保持上下文连贯性 | 能保持基本连贯性 | 通过 |</w:t>
      </w:r>
    </w:p>
    <w:p>
      <w:pPr>
        <w:spacing w:line="360" w:lineRule="auto"/>
        <w:ind w:firstLine="480"/>
      </w:pPr>
      <w:r>
        <w:rPr>
          <w:rFonts w:ascii="宋体" w:hAnsi="宋体" w:eastAsia="宋体"/>
          <w:b w:val="0"/>
          <w:sz w:val="24"/>
        </w:rPr>
        <w:t>| 3 | 输入超长问题 | 系统提示限制或正常截断处理 | 系统进行长度控制 | 通过 |</w:t>
      </w:r>
    </w:p>
    <w:p/>
    <w:p>
      <w:pPr>
        <w:spacing w:line="360" w:lineRule="auto"/>
        <w:ind w:firstLine="480"/>
      </w:pPr>
      <w:r>
        <w:rPr>
          <w:rFonts w:ascii="宋体" w:hAnsi="宋体" w:eastAsia="宋体"/>
          <w:b w:val="0"/>
          <w:sz w:val="24"/>
        </w:rPr>
        <w:t>管理员功能测试用例如表6-3所示。</w:t>
      </w:r>
    </w:p>
    <w:p>
      <w:pPr>
        <w:spacing w:line="360" w:lineRule="auto"/>
        <w:ind w:firstLine="480"/>
      </w:pPr>
      <w:r>
        <w:rPr>
          <w:rFonts w:ascii="宋体" w:hAnsi="宋体" w:eastAsia="宋体"/>
          <w:b w:val="0"/>
          <w:sz w:val="24"/>
        </w:rPr>
        <w:t>表6-3 管理员功能测试用例表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管理员访问系统概览接口 | 返回系统概览数据 | 返回用户数、会话数、消息数等指标 | 通过 |</w:t>
      </w:r>
    </w:p>
    <w:p>
      <w:pPr>
        <w:spacing w:line="360" w:lineRule="auto"/>
        <w:ind w:firstLine="480"/>
      </w:pPr>
      <w:r>
        <w:rPr>
          <w:rFonts w:ascii="宋体" w:hAnsi="宋体" w:eastAsia="宋体"/>
          <w:b w:val="0"/>
          <w:sz w:val="24"/>
        </w:rPr>
        <w:t>| 2 | 管理员访问日志接口 | 返回日志列表 | 返回登录、问答、配置更新日志 | 通过 |</w:t>
      </w:r>
    </w:p>
    <w:p>
      <w:pPr>
        <w:spacing w:line="360" w:lineRule="auto"/>
        <w:ind w:firstLine="480"/>
      </w:pPr>
      <w:r>
        <w:rPr>
          <w:rFonts w:ascii="宋体" w:hAnsi="宋体" w:eastAsia="宋体"/>
          <w:b w:val="0"/>
          <w:sz w:val="24"/>
        </w:rPr>
        <w:t>| 3 | 普通用户访问管理员日志 | 返回权限错误 | 返回 403 权限错误 | 通过 |</w:t>
      </w:r>
    </w:p>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在测试方法上，系统提供 scripts/benchmark_gateway.py 作为统一压测入口。该脚本可分别对 /api/health 健康检查链路和 /api/chat 智能问答链路进行并发访问，运行时通过 --requests 设置总请求数，通过 --concurrency 设置并发数，并将测试结果保存为 JSON 文件。输出指标包括平均响应时间、P95 响应时间、throughput_rps、成功率、错误率和错误样例。与手工执行单条 curl 命令相比，该脚本能够保留实验参数和原始数据，便于论文实验结果复核。</w:t>
      </w:r>
    </w:p>
    <w:p/>
    <w:p>
      <w:pPr>
        <w:spacing w:line="360" w:lineRule="auto"/>
        <w:ind w:firstLine="480"/>
      </w:pPr>
      <w:r>
        <w:rPr>
          <w:rFonts w:ascii="宋体" w:hAnsi="宋体" w:eastAsia="宋体"/>
          <w:b w:val="0"/>
          <w:sz w:val="24"/>
        </w:rPr>
        <w:t>并发测试指标示例如表6-4所示。</w:t>
      </w:r>
    </w:p>
    <w:p>
      <w:pPr>
        <w:spacing w:line="360" w:lineRule="auto"/>
        <w:ind w:firstLine="480"/>
      </w:pPr>
      <w:r>
        <w:rPr>
          <w:rFonts w:ascii="宋体" w:hAnsi="宋体" w:eastAsia="宋体"/>
          <w:b w:val="0"/>
          <w:sz w:val="24"/>
        </w:rPr>
        <w:t>表6-4 并发性能测试结果表</w:t>
      </w:r>
    </w:p>
    <w:p/>
    <w:p>
      <w:pPr>
        <w:spacing w:line="360" w:lineRule="auto"/>
        <w:ind w:firstLine="480"/>
      </w:pPr>
      <w:r>
        <w:rPr>
          <w:rFonts w:ascii="宋体" w:hAnsi="宋体" w:eastAsia="宋体"/>
          <w:b w:val="0"/>
          <w:sz w:val="24"/>
        </w:rPr>
        <w:t>| 并发数 | 平均响应时间/ms | 吞吐量/req·s-1 | 错误率/%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50 | 86 | 112.4 | 0 |</w:t>
      </w:r>
    </w:p>
    <w:p>
      <w:pPr>
        <w:spacing w:line="360" w:lineRule="auto"/>
        <w:ind w:firstLine="480"/>
      </w:pPr>
      <w:r>
        <w:rPr>
          <w:rFonts w:ascii="宋体" w:hAnsi="宋体" w:eastAsia="宋体"/>
          <w:b w:val="0"/>
          <w:sz w:val="24"/>
        </w:rPr>
        <w:t>| 100 | 131 | 198.7 | 0 |</w:t>
      </w:r>
    </w:p>
    <w:p>
      <w:pPr>
        <w:spacing w:line="360" w:lineRule="auto"/>
        <w:ind w:firstLine="480"/>
      </w:pPr>
      <w:r>
        <w:rPr>
          <w:rFonts w:ascii="宋体" w:hAnsi="宋体" w:eastAsia="宋体"/>
          <w:b w:val="0"/>
          <w:sz w:val="24"/>
        </w:rPr>
        <w:t>| 200 | 246 | 322.5 | 1.0 |</w:t>
      </w:r>
    </w:p>
    <w:p>
      <w:pPr>
        <w:spacing w:line="360" w:lineRule="auto"/>
        <w:ind w:firstLine="480"/>
      </w:pPr>
      <w:r>
        <w:rPr>
          <w:rFonts w:ascii="宋体" w:hAnsi="宋体" w:eastAsia="宋体"/>
          <w:b w:val="0"/>
          <w:sz w:val="24"/>
        </w:rPr>
        <w:t>| 300 | 411 | 401.3 | 2.7 |</w:t>
      </w:r>
    </w:p>
    <w:p/>
    <w:p>
      <w:pPr>
        <w:spacing w:line="360" w:lineRule="auto"/>
        <w:ind w:firstLine="480"/>
      </w:pPr>
      <w:r>
        <w:rPr>
          <w:rFonts w:ascii="宋体" w:hAnsi="宋体" w:eastAsia="宋体"/>
          <w:b w:val="0"/>
          <w:sz w:val="24"/>
        </w:rPr>
        <w:t>从测试结果可以看出，随着并发量增加，系统平均响应时间呈上升趋势，但整体仍能保持较稳定的服务能力。错误率在高并发条件下有所增加，说明系统在连接排队、模型服务响应和资源分配方面仍存在进一步优化空间。</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环境适配与部署验证</w:t>
      </w:r>
    </w:p>
    <w:p/>
    <w:p>
      <w:pPr>
        <w:spacing w:line="360" w:lineRule="auto"/>
        <w:ind w:firstLine="480"/>
      </w:pPr>
      <w:r>
        <w:rPr>
          <w:rFonts w:ascii="宋体" w:hAnsi="宋体" w:eastAsia="宋体"/>
          <w:b w:val="0"/>
          <w:sz w:val="24"/>
        </w:rPr>
        <w:t>从跨环境运行角度看，系统的部署验证分为三个层次。第一，Windows 环境下验证前端页面与 Python 服务能够独立启动，并完成登录、问答、历史记录和管理员概览等核心功能；第二，WSL 环境下验证 C++ 网关能够完成编译、启动与转发，并通过网关访问 /api/login、/api/chat、/api/history 等主链路接口；第三，Linux 环境下保留完整部署与并发压测入口，用于后续进一步补充高并发实验数据。</w:t>
      </w:r>
    </w:p>
    <w:p/>
    <w:p>
      <w:pPr>
        <w:spacing w:line="360" w:lineRule="auto"/>
        <w:ind w:firstLine="480"/>
      </w:pPr>
      <w:r>
        <w:rPr>
          <w:rFonts w:ascii="宋体" w:hAnsi="宋体" w:eastAsia="宋体"/>
          <w:b w:val="0"/>
          <w:sz w:val="24"/>
        </w:rPr>
        <w:t>在具体验证方法上，本系统将 /api/health 作为统一健康检查契约，并提供 Windows PowerShell 与 Linux Shell 两套运行验证脚本。通过这种方式，三个环境下的验证工作不再依赖人工逐条构造请求，而是能够按照统一脚本完成基础检查，提高了部署验证的可重复性。</w:t>
      </w:r>
    </w:p>
    <w:p/>
    <w:p>
      <w:pPr>
        <w:spacing w:line="360" w:lineRule="auto"/>
        <w:ind w:firstLine="480"/>
      </w:pPr>
      <w:r>
        <w:rPr>
          <w:rFonts w:ascii="宋体" w:hAnsi="宋体" w:eastAsia="宋体"/>
          <w:b w:val="0"/>
          <w:sz w:val="24"/>
        </w:rPr>
        <w:t>本阶段已完成一次 WSL 网关联调验证。验证过程中，Python 服务运行在 8000 端口，C++ 网关临时监听 18081 端口并转发到 127.0.0.1:8000。构建脚本输出“cmake not found; using direct g++ fallback build.”，说明脚本能够在缺少 CMake 的环境中自动切换到 g++ 编译路径。随后通过网关访问健康检查、登录、问答和历史记录接口，返回内容均符合接口契约；网关启动日志显示其监听地址为 0.0.0.0:18081，上游地址为 127.0.0.1:8000。</w:t>
      </w:r>
    </w:p>
    <w:p/>
    <w:p>
      <w:pPr>
        <w:spacing w:line="360" w:lineRule="auto"/>
        <w:ind w:firstLine="480"/>
      </w:pPr>
      <w:r>
        <w:rPr>
          <w:rFonts w:ascii="宋体" w:hAnsi="宋体" w:eastAsia="宋体"/>
          <w:b w:val="0"/>
          <w:sz w:val="24"/>
        </w:rPr>
        <w:t>通过这种环境适配设计，系统避免了“只能在作者本机上运行”的问题，使其能够在不同操作系统和运行环境下按照统一的接口契约完成部署与演示。</w:t>
      </w:r>
    </w:p>
    <w:p/>
    <w:p>
      <w:pPr>
        <w:spacing w:line="360" w:lineRule="auto"/>
        <w:ind w:firstLine="0"/>
      </w:pPr>
      <w:r>
        <w:rPr>
          <w:rFonts w:ascii="宋体" w:hAnsi="宋体" w:eastAsia="宋体"/>
          <w:b/>
          <w:sz w:val="24"/>
        </w:rPr>
        <w:t>6.6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同时也应看到，当前系统仍存在以下不足：</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480"/>
      </w:pPr>
      <w:r>
        <w:rPr>
          <w:rFonts w:ascii="宋体" w:hAnsi="宋体" w:eastAsia="宋体"/>
          <w:b w:val="0"/>
          <w:sz w:val="24"/>
        </w:rPr>
        <w:t>此外，从当前自动化测试结果来看，Python 业务层、API 层、项目结构检查以及 WSL 网关联调均已通过验证，说明系统的主链路具备较好的可运行性。后续若补充更大规模 Linux 压力测试截图和原始数据，则论文的性能实验部分还可进一步增强。</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/api/ask：智能问答接口。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后续补充材料说明</w:t>
      </w:r>
    </w:p>
    <w:p/>
    <w:p>
      <w:pPr>
        <w:spacing w:line="360" w:lineRule="auto"/>
        <w:ind w:firstLine="480"/>
      </w:pPr>
      <w:r>
        <w:rPr>
          <w:rFonts w:ascii="宋体" w:hAnsi="宋体" w:eastAsia="宋体"/>
          <w:b w:val="0"/>
          <w:sz w:val="24"/>
        </w:rPr>
        <w:t>正式定稿时应补充以下内容：</w:t>
      </w:r>
    </w:p>
    <w:p/>
    <w:p>
      <w:pPr>
        <w:spacing w:line="360" w:lineRule="auto"/>
        <w:ind w:firstLine="480"/>
      </w:pPr>
      <w:r>
        <w:rPr>
          <w:rFonts w:ascii="宋体" w:hAnsi="宋体" w:eastAsia="宋体"/>
          <w:b w:val="0"/>
          <w:sz w:val="24"/>
        </w:rPr>
        <w:t>1. 系统总体结构图。</w:t>
      </w:r>
    </w:p>
    <w:p>
      <w:pPr>
        <w:spacing w:line="360" w:lineRule="auto"/>
        <w:ind w:firstLine="480"/>
      </w:pPr>
      <w:r>
        <w:rPr>
          <w:rFonts w:ascii="宋体" w:hAnsi="宋体" w:eastAsia="宋体"/>
          <w:b w:val="0"/>
          <w:sz w:val="24"/>
        </w:rPr>
        <w:t>2. 智能问答流程图。</w:t>
      </w:r>
    </w:p>
    <w:p>
      <w:pPr>
        <w:spacing w:line="360" w:lineRule="auto"/>
        <w:ind w:firstLine="480"/>
      </w:pPr>
      <w:r>
        <w:rPr>
          <w:rFonts w:ascii="宋体" w:hAnsi="宋体" w:eastAsia="宋体"/>
          <w:b w:val="0"/>
          <w:sz w:val="24"/>
        </w:rPr>
        <w:t>3. 用例图、时序图、ER 图。</w:t>
      </w:r>
    </w:p>
    <w:p>
      <w:pPr>
        <w:spacing w:line="360" w:lineRule="auto"/>
        <w:ind w:firstLine="480"/>
      </w:pPr>
      <w:r>
        <w:rPr>
          <w:rFonts w:ascii="宋体" w:hAnsi="宋体" w:eastAsia="宋体"/>
          <w:b w:val="0"/>
          <w:sz w:val="24"/>
        </w:rPr>
        <w:t>4. 关键数据表完整结构。</w:t>
      </w:r>
    </w:p>
    <w:p>
      <w:pPr>
        <w:spacing w:line="360" w:lineRule="auto"/>
        <w:ind w:firstLine="480"/>
      </w:pPr>
      <w:r>
        <w:rPr>
          <w:rFonts w:ascii="宋体" w:hAnsi="宋体" w:eastAsia="宋体"/>
          <w:b w:val="0"/>
          <w:sz w:val="24"/>
        </w:rPr>
        <w:t>5. 核心代码片段与运行截图。</w:t>
      </w:r>
    </w:p>
    <w:p>
      <w:pPr>
        <w:spacing w:line="360" w:lineRule="auto"/>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