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2E"/>
          <w:sz w:val="48"/>
          <w:szCs w:val="48"/>
        </w:rPr>
        <w:t xml:space="preserve">01</w:t>
      </w:r>
    </w:p>
    <w:p>
      <w:pPr>
        <w:spacing w:after="40"/>
      </w:pPr>
      <w:r>
        <w:rPr>
          <w:b/>
          <w:bCs/>
          <w:color w:val="1A1A17"/>
          <w:sz w:val="40"/>
          <w:szCs w:val="40"/>
        </w:rPr>
        <w:t xml:space="preserve">Product Requirements Document</w:t>
      </w:r>
    </w:p>
    <w:p>
      <w:pPr>
        <w:pBdr>
          <w:bottom w:val="single" w:color="B08A2E" w:sz="8" w:space="6"/>
        </w:pBdr>
        <w:spacing w:after="240"/>
      </w:pPr>
      <w:r>
        <w:rPr>
          <w:color w:val="5A5A52"/>
          <w:sz w:val="22"/>
          <w:szCs w:val="22"/>
        </w:rPr>
        <w:t xml:space="preserve">PRD — what Revati is, who it is for, and what shipped</w:t>
      </w:r>
    </w:p>
    <w:p>
      <w:pPr>
        <w:spacing w:after="80"/>
      </w:pPr>
      <w:r>
        <w:rPr>
          <w:b/>
          <w:bCs/>
          <w:color w:val="1A1A17"/>
          <w:sz w:val="21"/>
          <w:szCs w:val="21"/>
        </w:rPr>
        <w:t xml:space="preserve">Revati — Kundli &amp; Panchang  ·  Android (Kotlin, Jetpack Compose)</w:t>
      </w:r>
    </w:p>
    <w:p>
      <w:pPr>
        <w:spacing w:after="320"/>
      </w:pPr>
      <w:r>
        <w:rPr>
          <w:color w:val="5A5A52"/>
          <w:sz w:val="20"/>
          <w:szCs w:val="20"/>
        </w:rPr>
        <w:t xml:space="preserve">Version 2.0  |  September 2026  |  Sunil Kumar Saini (Msunjay Enterprises)</w:t>
      </w:r>
    </w:p>
    <w:p>
      <w:pPr>
        <w:pBdr>
          <w:left w:val="single" w:color="B08A2E" w:sz="18" w:space="12"/>
        </w:pBdr>
        <w:spacing w:after="160" w:before="120"/>
      </w:pPr>
      <w:r>
        <w:rPr>
          <w:i/>
          <w:iCs/>
          <w:color w:val="5A5A52"/>
          <w:sz w:val="20"/>
          <w:szCs w:val="20"/>
        </w:rPr>
        <w:t xml:space="preserve">Version 1.0 of this document (July 2026) described a React Native + Expo + Supabase application. That app was never built. Revati shipped as a native Android app in Kotlin and Jetpack Compose, with Firebase in place of Supabase and an on-device ephemeris in place of a server. This revision replaces that document in full and describes only what is in the shipped code.</w:t>
      </w:r>
    </w:p>
    <w:p>
      <w:pPr>
        <w:pStyle w:val="Heading1"/>
        <w:spacing w:after="160" w:before="360"/>
      </w:pPr>
      <w:r>
        <w:rPr>
          <w:b/>
          <w:bCs/>
          <w:color w:val="B08A2E"/>
          <w:sz w:val="30"/>
          <w:szCs w:val="30"/>
        </w:rPr>
        <w:t xml:space="preserve">1. Summary</w:t>
      </w:r>
    </w:p>
    <w:p>
      <w:pPr>
        <w:spacing w:after="120"/>
      </w:pPr>
      <w:r>
        <w:rPr>
          <w:i w:val="false"/>
          <w:iCs w:val="false"/>
          <w:color w:val="1A1A17"/>
          <w:sz w:val="21"/>
          <w:szCs w:val="21"/>
        </w:rPr>
        <w:t xml:space="preserve">Revati is an Android application for Vedic astrology, in Hindi and English, published on Google Play by Msunjay Enterprises. It computes the Panchang and birth charts on the device from first principles rather than fetching them from a server, so the core of the app works with no internet connection.</w:t>
      </w:r>
    </w:p>
    <w:p>
      <w:pPr>
        <w:spacing w:after="120"/>
      </w:pPr>
      <w:r>
        <w:rPr>
          <w:i w:val="false"/>
          <w:iCs w:val="false"/>
          <w:color w:val="1A1A17"/>
          <w:sz w:val="21"/>
          <w:szCs w:val="21"/>
        </w:rPr>
        <w:t xml:space="preserve">It is live in production at versionCode 2 / versionName 1.1. The tree described here is versionCode 3 / versionName 1.2, unreleased at the time of writing.</w:t>
      </w:r>
    </w:p>
    <w:p>
      <w:pPr>
        <w:pStyle w:val="Heading1"/>
        <w:spacing w:after="160" w:before="360"/>
      </w:pPr>
      <w:r>
        <w:rPr>
          <w:b/>
          <w:bCs/>
          <w:color w:val="B08A2E"/>
          <w:sz w:val="30"/>
          <w:szCs w:val="30"/>
        </w:rPr>
        <w:t xml:space="preserve">2. Positioning</w:t>
      </w:r>
    </w:p>
    <w:p>
      <w:pPr>
        <w:spacing w:after="120"/>
      </w:pPr>
      <w:r>
        <w:rPr>
          <w:i w:val="false"/>
          <w:iCs w:val="false"/>
          <w:color w:val="1A1A17"/>
          <w:sz w:val="21"/>
          <w:szCs w:val="21"/>
        </w:rPr>
        <w:t xml:space="preserve">The competitors are AstroSage and Drik Panchang. Revati does not try to beat them on breadth of content. It competes on three things:</w:t>
      </w:r>
    </w:p>
    <w:p>
      <w:pPr>
        <w:pStyle w:val="ListParagraph"/>
        <w:numPr>
          <w:ilvl w:val="0"/>
          <w:numId w:val="1"/>
        </w:numPr>
        <w:spacing w:after="80"/>
      </w:pPr>
      <w:r>
        <w:rPr>
          <w:color w:val="1A1A17"/>
          <w:sz w:val="21"/>
          <w:szCs w:val="21"/>
        </w:rPr>
        <w:t xml:space="preserve">Correct astronomy computed locally, so the app opens and answers instantly and works offline.</w:t>
      </w:r>
    </w:p>
    <w:p>
      <w:pPr>
        <w:pStyle w:val="ListParagraph"/>
        <w:numPr>
          <w:ilvl w:val="0"/>
          <w:numId w:val="1"/>
        </w:numPr>
        <w:spacing w:after="80"/>
      </w:pPr>
      <w:r>
        <w:rPr>
          <w:color w:val="1A1A17"/>
          <w:sz w:val="21"/>
          <w:szCs w:val="21"/>
        </w:rPr>
        <w:t xml:space="preserve">Both languages treated as equals. Nothing user-facing is a bare string; every label, notification, widget, share text and PDF exists in Hindi and English.</w:t>
      </w:r>
    </w:p>
    <w:p>
      <w:pPr>
        <w:pStyle w:val="ListParagraph"/>
        <w:numPr>
          <w:ilvl w:val="0"/>
          <w:numId w:val="1"/>
        </w:numPr>
        <w:spacing w:after="80"/>
      </w:pPr>
      <w:r>
        <w:rPr>
          <w:color w:val="1A1A17"/>
          <w:sz w:val="21"/>
          <w:szCs w:val="21"/>
        </w:rPr>
        <w:t xml:space="preserve">A calm, readable interface in both a light and a dark theme, following the system.</w:t>
      </w:r>
    </w:p>
    <w:p>
      <w:pPr>
        <w:pBdr>
          <w:left w:val="single" w:color="B08A2E" w:sz="18" w:space="12"/>
        </w:pBdr>
        <w:spacing w:after="160" w:before="120"/>
      </w:pPr>
      <w:r>
        <w:rPr>
          <w:i/>
          <w:iCs/>
          <w:color w:val="5A5A52"/>
          <w:sz w:val="20"/>
          <w:szCs w:val="20"/>
        </w:rPr>
        <w:t xml:space="preserve">An earlier version of this document claimed Swiss Ephemeris. The app does not use Swiss Ephemeris. It implements Meeus, Astronomical Algorithms (2nd ed.) directly — see the Technical Architecture Document.</w:t>
      </w:r>
    </w:p>
    <w:p>
      <w:pPr>
        <w:pStyle w:val="Heading1"/>
        <w:spacing w:after="160" w:before="360"/>
      </w:pPr>
      <w:r>
        <w:rPr>
          <w:b/>
          <w:bCs/>
          <w:color w:val="B08A2E"/>
          <w:sz w:val="30"/>
          <w:szCs w:val="30"/>
        </w:rPr>
        <w:t xml:space="preserve">3. 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F2EEE2" w:color="auto" w:val="clear"/>
            <w:tcMar>
              <w:top w:type="dxa" w:w="60"/>
              <w:left w:type="dxa" w:w="90"/>
              <w:bottom w:type="dxa" w:w="60"/>
              <w:right w:type="dxa" w:w="90"/>
            </w:tcMar>
          </w:tcPr>
          <w:p>
            <w:r>
              <w:rPr>
                <w:b/>
                <w:bCs/>
                <w:color w:val="B08A2E"/>
                <w:sz w:val="19"/>
                <w:szCs w:val="19"/>
              </w:rPr>
              <w:t xml:space="preserve">Persona</w:t>
            </w:r>
          </w:p>
        </w:tc>
        <w:tc>
          <w:tcPr>
            <w:tcW w:type="dxa" w:w="2340"/>
            <w:shd w:fill="F2EEE2" w:color="auto" w:val="clear"/>
            <w:tcMar>
              <w:top w:type="dxa" w:w="60"/>
              <w:left w:type="dxa" w:w="90"/>
              <w:bottom w:type="dxa" w:w="60"/>
              <w:right w:type="dxa" w:w="90"/>
            </w:tcMar>
          </w:tcPr>
          <w:p>
            <w:r>
              <w:rPr>
                <w:b/>
                <w:bCs/>
                <w:color w:val="B08A2E"/>
                <w:sz w:val="19"/>
                <w:szCs w:val="19"/>
              </w:rPr>
              <w:t xml:space="preserve">Age</w:t>
            </w:r>
          </w:p>
        </w:tc>
        <w:tc>
          <w:tcPr>
            <w:tcW w:type="dxa" w:w="2340"/>
            <w:shd w:fill="F2EEE2" w:color="auto" w:val="clear"/>
            <w:tcMar>
              <w:top w:type="dxa" w:w="60"/>
              <w:left w:type="dxa" w:w="90"/>
              <w:bottom w:type="dxa" w:w="60"/>
              <w:right w:type="dxa" w:w="90"/>
            </w:tcMar>
          </w:tcPr>
          <w:p>
            <w:r>
              <w:rPr>
                <w:b/>
                <w:bCs/>
                <w:color w:val="B08A2E"/>
                <w:sz w:val="19"/>
                <w:szCs w:val="19"/>
              </w:rPr>
              <w:t xml:space="preserve">What they open the app for</w:t>
            </w:r>
          </w:p>
        </w:tc>
        <w:tc>
          <w:tcPr>
            <w:tcW w:type="dxa" w:w="2340"/>
            <w:shd w:fill="F2EEE2" w:color="auto" w:val="clear"/>
            <w:tcMar>
              <w:top w:type="dxa" w:w="60"/>
              <w:left w:type="dxa" w:w="90"/>
              <w:bottom w:type="dxa" w:w="60"/>
              <w:right w:type="dxa" w:w="90"/>
            </w:tcMar>
          </w:tcPr>
          <w:p>
            <w:r>
              <w:rPr>
                <w:b/>
                <w:bCs/>
                <w:color w:val="B08A2E"/>
                <w:sz w:val="19"/>
                <w:szCs w:val="19"/>
              </w:rPr>
              <w:t xml:space="preserve">Priority</w:t>
            </w:r>
          </w:p>
        </w:tc>
      </w:tr>
      <w:tr>
        <w:tc>
          <w:tcPr>
            <w:tcW w:type="dxa" w:w="2340"/>
            <w:tcMar>
              <w:top w:type="dxa" w:w="60"/>
              <w:left w:type="dxa" w:w="90"/>
              <w:bottom w:type="dxa" w:w="60"/>
              <w:right w:type="dxa" w:w="90"/>
            </w:tcMar>
          </w:tcPr>
          <w:p>
            <w:r>
              <w:rPr>
                <w:b w:val="false"/>
                <w:bCs w:val="false"/>
                <w:color w:val="1A1A17"/>
                <w:sz w:val="19"/>
                <w:szCs w:val="19"/>
              </w:rPr>
              <w:t xml:space="preserve">Daily Panchang reader</w:t>
            </w:r>
          </w:p>
        </w:tc>
        <w:tc>
          <w:tcPr>
            <w:tcW w:type="dxa" w:w="2340"/>
            <w:tcMar>
              <w:top w:type="dxa" w:w="60"/>
              <w:left w:type="dxa" w:w="90"/>
              <w:bottom w:type="dxa" w:w="60"/>
              <w:right w:type="dxa" w:w="90"/>
            </w:tcMar>
          </w:tcPr>
          <w:p>
            <w:r>
              <w:rPr>
                <w:b w:val="false"/>
                <w:bCs w:val="false"/>
                <w:color w:val="1A1A17"/>
                <w:sz w:val="19"/>
                <w:szCs w:val="19"/>
              </w:rPr>
              <w:t xml:space="preserve">25–60</w:t>
            </w:r>
          </w:p>
        </w:tc>
        <w:tc>
          <w:tcPr>
            <w:tcW w:type="dxa" w:w="2340"/>
            <w:tcMar>
              <w:top w:type="dxa" w:w="60"/>
              <w:left w:type="dxa" w:w="90"/>
              <w:bottom w:type="dxa" w:w="60"/>
              <w:right w:type="dxa" w:w="90"/>
            </w:tcMar>
          </w:tcPr>
          <w:p>
            <w:r>
              <w:rPr>
                <w:b w:val="false"/>
                <w:bCs w:val="false"/>
                <w:color w:val="1A1A17"/>
                <w:sz w:val="19"/>
                <w:szCs w:val="19"/>
              </w:rPr>
              <w:t xml:space="preserve">Tithi, Nakshatra, Rahu Kaal, sunrise — a ten-second visit</w:t>
            </w:r>
          </w:p>
        </w:tc>
        <w:tc>
          <w:tcPr>
            <w:tcW w:type="dxa" w:w="2340"/>
            <w:tcMar>
              <w:top w:type="dxa" w:w="60"/>
              <w:left w:type="dxa" w:w="90"/>
              <w:bottom w:type="dxa" w:w="60"/>
              <w:right w:type="dxa" w:w="90"/>
            </w:tcMar>
          </w:tcPr>
          <w:p>
            <w:r>
              <w:rPr>
                <w:b w:val="false"/>
                <w:bCs w:val="false"/>
                <w:color w:val="1A1A17"/>
                <w:sz w:val="19"/>
                <w:szCs w:val="19"/>
              </w:rPr>
              <w:t xml:space="preserve">P1</w:t>
            </w:r>
          </w:p>
        </w:tc>
      </w:tr>
      <w:tr>
        <w:tc>
          <w:tcPr>
            <w:tcW w:type="dxa" w:w="2340"/>
            <w:tcMar>
              <w:top w:type="dxa" w:w="60"/>
              <w:left w:type="dxa" w:w="90"/>
              <w:bottom w:type="dxa" w:w="60"/>
              <w:right w:type="dxa" w:w="90"/>
            </w:tcMar>
          </w:tcPr>
          <w:p>
            <w:r>
              <w:rPr>
                <w:b w:val="false"/>
                <w:bCs w:val="false"/>
                <w:color w:val="1A1A17"/>
                <w:sz w:val="19"/>
                <w:szCs w:val="19"/>
              </w:rPr>
              <w:t xml:space="preserve">Traditional household</w:t>
            </w:r>
          </w:p>
        </w:tc>
        <w:tc>
          <w:tcPr>
            <w:tcW w:type="dxa" w:w="2340"/>
            <w:tcMar>
              <w:top w:type="dxa" w:w="60"/>
              <w:left w:type="dxa" w:w="90"/>
              <w:bottom w:type="dxa" w:w="60"/>
              <w:right w:type="dxa" w:w="90"/>
            </w:tcMar>
          </w:tcPr>
          <w:p>
            <w:r>
              <w:rPr>
                <w:b w:val="false"/>
                <w:bCs w:val="false"/>
                <w:color w:val="1A1A17"/>
                <w:sz w:val="19"/>
                <w:szCs w:val="19"/>
              </w:rPr>
              <w:t xml:space="preserve">35–65</w:t>
            </w:r>
          </w:p>
        </w:tc>
        <w:tc>
          <w:tcPr>
            <w:tcW w:type="dxa" w:w="2340"/>
            <w:tcMar>
              <w:top w:type="dxa" w:w="60"/>
              <w:left w:type="dxa" w:w="90"/>
              <w:bottom w:type="dxa" w:w="60"/>
              <w:right w:type="dxa" w:w="90"/>
            </w:tcMar>
          </w:tcPr>
          <w:p>
            <w:r>
              <w:rPr>
                <w:b w:val="false"/>
                <w:bCs w:val="false"/>
                <w:color w:val="1A1A17"/>
                <w:sz w:val="19"/>
                <w:szCs w:val="19"/>
              </w:rPr>
              <w:t xml:space="preserve">Festival dates, fasts, muhurat for ceremonies</w:t>
            </w:r>
          </w:p>
        </w:tc>
        <w:tc>
          <w:tcPr>
            <w:tcW w:type="dxa" w:w="2340"/>
            <w:tcMar>
              <w:top w:type="dxa" w:w="60"/>
              <w:left w:type="dxa" w:w="90"/>
              <w:bottom w:type="dxa" w:w="60"/>
              <w:right w:type="dxa" w:w="90"/>
            </w:tcMar>
          </w:tcPr>
          <w:p>
            <w:r>
              <w:rPr>
                <w:b w:val="false"/>
                <w:bCs w:val="false"/>
                <w:color w:val="1A1A17"/>
                <w:sz w:val="19"/>
                <w:szCs w:val="19"/>
              </w:rPr>
              <w:t xml:space="preserve">P1</w:t>
            </w:r>
          </w:p>
        </w:tc>
      </w:tr>
      <w:tr>
        <w:tc>
          <w:tcPr>
            <w:tcW w:type="dxa" w:w="2340"/>
            <w:tcMar>
              <w:top w:type="dxa" w:w="60"/>
              <w:left w:type="dxa" w:w="90"/>
              <w:bottom w:type="dxa" w:w="60"/>
              <w:right w:type="dxa" w:w="90"/>
            </w:tcMar>
          </w:tcPr>
          <w:p>
            <w:r>
              <w:rPr>
                <w:b w:val="false"/>
                <w:bCs w:val="false"/>
                <w:color w:val="1A1A17"/>
                <w:sz w:val="19"/>
                <w:szCs w:val="19"/>
              </w:rPr>
              <w:t xml:space="preserve">Chart reader</w:t>
            </w:r>
          </w:p>
        </w:tc>
        <w:tc>
          <w:tcPr>
            <w:tcW w:type="dxa" w:w="2340"/>
            <w:tcMar>
              <w:top w:type="dxa" w:w="60"/>
              <w:left w:type="dxa" w:w="90"/>
              <w:bottom w:type="dxa" w:w="60"/>
              <w:right w:type="dxa" w:w="90"/>
            </w:tcMar>
          </w:tcPr>
          <w:p>
            <w:r>
              <w:rPr>
                <w:b w:val="false"/>
                <w:bCs w:val="false"/>
                <w:color w:val="1A1A17"/>
                <w:sz w:val="19"/>
                <w:szCs w:val="19"/>
              </w:rPr>
              <w:t xml:space="preserve">22–45</w:t>
            </w:r>
          </w:p>
        </w:tc>
        <w:tc>
          <w:tcPr>
            <w:tcW w:type="dxa" w:w="2340"/>
            <w:tcMar>
              <w:top w:type="dxa" w:w="60"/>
              <w:left w:type="dxa" w:w="90"/>
              <w:bottom w:type="dxa" w:w="60"/>
              <w:right w:type="dxa" w:w="90"/>
            </w:tcMar>
          </w:tcPr>
          <w:p>
            <w:r>
              <w:rPr>
                <w:b w:val="false"/>
                <w:bCs w:val="false"/>
                <w:color w:val="1A1A17"/>
                <w:sz w:val="19"/>
                <w:szCs w:val="19"/>
              </w:rPr>
              <w:t xml:space="preserve">Kundali, Lagna, planetary positions, Vimshottari Dasha</w:t>
            </w:r>
          </w:p>
        </w:tc>
        <w:tc>
          <w:tcPr>
            <w:tcW w:type="dxa" w:w="2340"/>
            <w:tcMar>
              <w:top w:type="dxa" w:w="60"/>
              <w:left w:type="dxa" w:w="90"/>
              <w:bottom w:type="dxa" w:w="60"/>
              <w:right w:type="dxa" w:w="90"/>
            </w:tcMar>
          </w:tcPr>
          <w:p>
            <w:r>
              <w:rPr>
                <w:b w:val="false"/>
                <w:bCs w:val="false"/>
                <w:color w:val="1A1A17"/>
                <w:sz w:val="19"/>
                <w:szCs w:val="19"/>
              </w:rPr>
              <w:t xml:space="preserve">P2</w:t>
            </w:r>
          </w:p>
        </w:tc>
      </w:tr>
      <w:tr>
        <w:tc>
          <w:tcPr>
            <w:tcW w:type="dxa" w:w="2340"/>
            <w:tcMar>
              <w:top w:type="dxa" w:w="60"/>
              <w:left w:type="dxa" w:w="90"/>
              <w:bottom w:type="dxa" w:w="60"/>
              <w:right w:type="dxa" w:w="90"/>
            </w:tcMar>
          </w:tcPr>
          <w:p>
            <w:r>
              <w:rPr>
                <w:b w:val="false"/>
                <w:bCs w:val="false"/>
                <w:color w:val="1A1A17"/>
                <w:sz w:val="19"/>
                <w:szCs w:val="19"/>
              </w:rPr>
              <w:t xml:space="preserve">Marriage matching</w:t>
            </w:r>
          </w:p>
        </w:tc>
        <w:tc>
          <w:tcPr>
            <w:tcW w:type="dxa" w:w="2340"/>
            <w:tcMar>
              <w:top w:type="dxa" w:w="60"/>
              <w:left w:type="dxa" w:w="90"/>
              <w:bottom w:type="dxa" w:w="60"/>
              <w:right w:type="dxa" w:w="90"/>
            </w:tcMar>
          </w:tcPr>
          <w:p>
            <w:r>
              <w:rPr>
                <w:b w:val="false"/>
                <w:bCs w:val="false"/>
                <w:color w:val="1A1A17"/>
                <w:sz w:val="19"/>
                <w:szCs w:val="19"/>
              </w:rPr>
              <w:t xml:space="preserve">25–55</w:t>
            </w:r>
          </w:p>
        </w:tc>
        <w:tc>
          <w:tcPr>
            <w:tcW w:type="dxa" w:w="2340"/>
            <w:tcMar>
              <w:top w:type="dxa" w:w="60"/>
              <w:left w:type="dxa" w:w="90"/>
              <w:bottom w:type="dxa" w:w="60"/>
              <w:right w:type="dxa" w:w="90"/>
            </w:tcMar>
          </w:tcPr>
          <w:p>
            <w:r>
              <w:rPr>
                <w:b w:val="false"/>
                <w:bCs w:val="false"/>
                <w:color w:val="1A1A17"/>
                <w:sz w:val="19"/>
                <w:szCs w:val="19"/>
              </w:rPr>
              <w:t xml:space="preserve">Ashtakoot 36-guna, Nadi and Bhakoot dosha</w:t>
            </w:r>
          </w:p>
        </w:tc>
        <w:tc>
          <w:tcPr>
            <w:tcW w:type="dxa" w:w="2340"/>
            <w:tcMar>
              <w:top w:type="dxa" w:w="60"/>
              <w:left w:type="dxa" w:w="90"/>
              <w:bottom w:type="dxa" w:w="60"/>
              <w:right w:type="dxa" w:w="90"/>
            </w:tcMar>
          </w:tcPr>
          <w:p>
            <w:r>
              <w:rPr>
                <w:b w:val="false"/>
                <w:bCs w:val="false"/>
                <w:color w:val="1A1A17"/>
                <w:sz w:val="19"/>
                <w:szCs w:val="19"/>
              </w:rPr>
              <w:t xml:space="preserve">P2</w:t>
            </w:r>
          </w:p>
        </w:tc>
      </w:tr>
    </w:tbl>
    <w:p>
      <w:pPr>
        <w:spacing w:after="120"/>
      </w:pPr>
      <w:r>
        <w:rPr>
          <w:i w:val="false"/>
          <w:iCs w:val="false"/>
          <w:color w:val="1A1A17"/>
          <w:sz w:val="21"/>
          <w:szCs w:val="21"/>
        </w:rPr>
        <w:t xml:space="preserve">The first persona is the one that governs design decisions. Someone opening the app to read today's Tithi should not meet a login screen, a full-screen advertisement, or a form.</w:t>
      </w:r>
    </w:p>
    <w:p>
      <w:pPr>
        <w:pStyle w:val="Heading1"/>
        <w:spacing w:after="160" w:before="360"/>
      </w:pPr>
      <w:r>
        <w:rPr>
          <w:b/>
          <w:bCs/>
          <w:color w:val="B08A2E"/>
          <w:sz w:val="30"/>
          <w:szCs w:val="30"/>
        </w:rPr>
        <w:t xml:space="preserve">4. Features as shipped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F2EEE2" w:color="auto" w:val="clear"/>
            <w:tcMar>
              <w:top w:type="dxa" w:w="60"/>
              <w:left w:type="dxa" w:w="90"/>
              <w:bottom w:type="dxa" w:w="60"/>
              <w:right w:type="dxa" w:w="90"/>
            </w:tcMar>
          </w:tcPr>
          <w:p>
            <w:r>
              <w:rPr>
                <w:b/>
                <w:bCs/>
                <w:color w:val="B08A2E"/>
                <w:sz w:val="19"/>
                <w:szCs w:val="19"/>
              </w:rPr>
              <w:t xml:space="preserve">Feature</w:t>
            </w:r>
          </w:p>
        </w:tc>
        <w:tc>
          <w:tcPr>
            <w:tcW w:type="dxa" w:w="3120"/>
            <w:shd w:fill="F2EEE2" w:color="auto" w:val="clear"/>
            <w:tcMar>
              <w:top w:type="dxa" w:w="60"/>
              <w:left w:type="dxa" w:w="90"/>
              <w:bottom w:type="dxa" w:w="60"/>
              <w:right w:type="dxa" w:w="90"/>
            </w:tcMar>
          </w:tcPr>
          <w:p>
            <w:r>
              <w:rPr>
                <w:b/>
                <w:bCs/>
                <w:color w:val="B08A2E"/>
                <w:sz w:val="19"/>
                <w:szCs w:val="19"/>
              </w:rPr>
              <w:t xml:space="preserve">What it does</w:t>
            </w:r>
          </w:p>
        </w:tc>
        <w:tc>
          <w:tcPr>
            <w:tcW w:type="dxa" w:w="3120"/>
            <w:shd w:fill="F2EEE2" w:color="auto" w:val="clear"/>
            <w:tcMar>
              <w:top w:type="dxa" w:w="60"/>
              <w:left w:type="dxa" w:w="90"/>
              <w:bottom w:type="dxa" w:w="60"/>
              <w:right w:type="dxa" w:w="90"/>
            </w:tcMar>
          </w:tcPr>
          <w:p>
            <w:r>
              <w:rPr>
                <w:b/>
                <w:bCs/>
                <w:color w:val="B08A2E"/>
                <w:sz w:val="19"/>
                <w:szCs w:val="19"/>
              </w:rPr>
              <w:t xml:space="preserve">Offline</w:t>
            </w:r>
          </w:p>
        </w:tc>
      </w:tr>
      <w:tr>
        <w:tc>
          <w:tcPr>
            <w:tcW w:type="dxa" w:w="3120"/>
            <w:tcMar>
              <w:top w:type="dxa" w:w="60"/>
              <w:left w:type="dxa" w:w="90"/>
              <w:bottom w:type="dxa" w:w="60"/>
              <w:right w:type="dxa" w:w="90"/>
            </w:tcMar>
          </w:tcPr>
          <w:p>
            <w:r>
              <w:rPr>
                <w:b w:val="false"/>
                <w:bCs w:val="false"/>
                <w:color w:val="1A1A17"/>
                <w:sz w:val="19"/>
                <w:szCs w:val="19"/>
              </w:rPr>
              <w:t xml:space="preserve">Panchang</w:t>
            </w:r>
          </w:p>
        </w:tc>
        <w:tc>
          <w:tcPr>
            <w:tcW w:type="dxa" w:w="3120"/>
            <w:tcMar>
              <w:top w:type="dxa" w:w="60"/>
              <w:left w:type="dxa" w:w="90"/>
              <w:bottom w:type="dxa" w:w="60"/>
              <w:right w:type="dxa" w:w="90"/>
            </w:tcMar>
          </w:tcPr>
          <w:p>
            <w:r>
              <w:rPr>
                <w:b w:val="false"/>
                <w:bCs w:val="false"/>
                <w:color w:val="1A1A17"/>
                <w:sz w:val="19"/>
                <w:szCs w:val="19"/>
              </w:rPr>
              <w:t xml:space="preserve">Tithi, Nakshatra, Yoga, Karana, Vara, sunrise/sunset, moonrise/moonset, Rahu Kaal, Gulika, Yamaganda, Abhijit, Brahma Muhurta, Choghadiya, daily Lagna chart</w:t>
            </w:r>
          </w:p>
        </w:tc>
        <w:tc>
          <w:tcPr>
            <w:tcW w:type="dxa" w:w="3120"/>
            <w:tcMar>
              <w:top w:type="dxa" w:w="60"/>
              <w:left w:type="dxa" w:w="90"/>
              <w:bottom w:type="dxa" w:w="60"/>
              <w:right w:type="dxa" w:w="90"/>
            </w:tcMar>
          </w:tcPr>
          <w:p>
            <w:r>
              <w:rPr>
                <w:b w:val="false"/>
                <w:bCs w:val="false"/>
                <w:color w:val="1A1A17"/>
                <w:sz w:val="19"/>
                <w:szCs w:val="19"/>
              </w:rPr>
              <w:t xml:space="preserve">Yes</w:t>
            </w:r>
          </w:p>
        </w:tc>
      </w:tr>
      <w:tr>
        <w:tc>
          <w:tcPr>
            <w:tcW w:type="dxa" w:w="3120"/>
            <w:tcMar>
              <w:top w:type="dxa" w:w="60"/>
              <w:left w:type="dxa" w:w="90"/>
              <w:bottom w:type="dxa" w:w="60"/>
              <w:right w:type="dxa" w:w="90"/>
            </w:tcMar>
          </w:tcPr>
          <w:p>
            <w:r>
              <w:rPr>
                <w:b w:val="false"/>
                <w:bCs w:val="false"/>
                <w:color w:val="1A1A17"/>
                <w:sz w:val="19"/>
                <w:szCs w:val="19"/>
              </w:rPr>
              <w:t xml:space="preserve">Calendar</w:t>
            </w:r>
          </w:p>
        </w:tc>
        <w:tc>
          <w:tcPr>
            <w:tcW w:type="dxa" w:w="3120"/>
            <w:tcMar>
              <w:top w:type="dxa" w:w="60"/>
              <w:left w:type="dxa" w:w="90"/>
              <w:bottom w:type="dxa" w:w="60"/>
              <w:right w:type="dxa" w:w="90"/>
            </w:tcMar>
          </w:tcPr>
          <w:p>
            <w:r>
              <w:rPr>
                <w:b w:val="false"/>
                <w:bCs w:val="false"/>
                <w:color w:val="1A1A17"/>
                <w:sz w:val="19"/>
                <w:szCs w:val="19"/>
              </w:rPr>
              <w:t xml:space="preserve">Month grid with festival days marked; the next seven upcoming festivals with puja vidhi</w:t>
            </w:r>
          </w:p>
        </w:tc>
        <w:tc>
          <w:tcPr>
            <w:tcW w:type="dxa" w:w="3120"/>
            <w:tcMar>
              <w:top w:type="dxa" w:w="60"/>
              <w:left w:type="dxa" w:w="90"/>
              <w:bottom w:type="dxa" w:w="60"/>
              <w:right w:type="dxa" w:w="90"/>
            </w:tcMar>
          </w:tcPr>
          <w:p>
            <w:r>
              <w:rPr>
                <w:b w:val="false"/>
                <w:bCs w:val="false"/>
                <w:color w:val="1A1A17"/>
                <w:sz w:val="19"/>
                <w:szCs w:val="19"/>
              </w:rPr>
              <w:t xml:space="preserve">Yes</w:t>
            </w:r>
          </w:p>
        </w:tc>
      </w:tr>
      <w:tr>
        <w:tc>
          <w:tcPr>
            <w:tcW w:type="dxa" w:w="3120"/>
            <w:tcMar>
              <w:top w:type="dxa" w:w="60"/>
              <w:left w:type="dxa" w:w="90"/>
              <w:bottom w:type="dxa" w:w="60"/>
              <w:right w:type="dxa" w:w="90"/>
            </w:tcMar>
          </w:tcPr>
          <w:p>
            <w:r>
              <w:rPr>
                <w:b w:val="false"/>
                <w:bCs w:val="false"/>
                <w:color w:val="1A1A17"/>
                <w:sz w:val="19"/>
                <w:szCs w:val="19"/>
              </w:rPr>
              <w:t xml:space="preserve">Rashifal</w:t>
            </w:r>
          </w:p>
        </w:tc>
        <w:tc>
          <w:tcPr>
            <w:tcW w:type="dxa" w:w="3120"/>
            <w:tcMar>
              <w:top w:type="dxa" w:w="60"/>
              <w:left w:type="dxa" w:w="90"/>
              <w:bottom w:type="dxa" w:w="60"/>
              <w:right w:type="dxa" w:w="90"/>
            </w:tcMar>
          </w:tcPr>
          <w:p>
            <w:r>
              <w:rPr>
                <w:b w:val="false"/>
                <w:bCs w:val="false"/>
                <w:color w:val="1A1A17"/>
                <w:sz w:val="19"/>
                <w:szCs w:val="19"/>
              </w:rPr>
              <w:t xml:space="preserve">Daily, weekly and monthly for all twelve signs</w:t>
            </w:r>
          </w:p>
        </w:tc>
        <w:tc>
          <w:tcPr>
            <w:tcW w:type="dxa" w:w="3120"/>
            <w:tcMar>
              <w:top w:type="dxa" w:w="60"/>
              <w:left w:type="dxa" w:w="90"/>
              <w:bottom w:type="dxa" w:w="60"/>
              <w:right w:type="dxa" w:w="90"/>
            </w:tcMar>
          </w:tcPr>
          <w:p>
            <w:r>
              <w:rPr>
                <w:b w:val="false"/>
                <w:bCs w:val="false"/>
                <w:color w:val="1A1A17"/>
                <w:sz w:val="19"/>
                <w:szCs w:val="19"/>
              </w:rPr>
              <w:t xml:space="preserve">Yes</w:t>
            </w:r>
          </w:p>
        </w:tc>
      </w:tr>
      <w:tr>
        <w:tc>
          <w:tcPr>
            <w:tcW w:type="dxa" w:w="3120"/>
            <w:tcMar>
              <w:top w:type="dxa" w:w="60"/>
              <w:left w:type="dxa" w:w="90"/>
              <w:bottom w:type="dxa" w:w="60"/>
              <w:right w:type="dxa" w:w="90"/>
            </w:tcMar>
          </w:tcPr>
          <w:p>
            <w:r>
              <w:rPr>
                <w:b w:val="false"/>
                <w:bCs w:val="false"/>
                <w:color w:val="1A1A17"/>
                <w:sz w:val="19"/>
                <w:szCs w:val="19"/>
              </w:rPr>
              <w:t xml:space="preserve">Kundali</w:t>
            </w:r>
          </w:p>
        </w:tc>
        <w:tc>
          <w:tcPr>
            <w:tcW w:type="dxa" w:w="3120"/>
            <w:tcMar>
              <w:top w:type="dxa" w:w="60"/>
              <w:left w:type="dxa" w:w="90"/>
              <w:bottom w:type="dxa" w:w="60"/>
              <w:right w:type="dxa" w:w="90"/>
            </w:tcMar>
          </w:tcPr>
          <w:p>
            <w:r>
              <w:rPr>
                <w:b w:val="false"/>
                <w:bCs w:val="false"/>
                <w:color w:val="1A1A17"/>
                <w:sz w:val="19"/>
                <w:szCs w:val="19"/>
              </w:rPr>
              <w:t xml:space="preserve">Lagna, planetary positions, North and South Indian charts, Vimshottari Dasha with antardashas, share as image or PDF</w:t>
            </w:r>
          </w:p>
        </w:tc>
        <w:tc>
          <w:tcPr>
            <w:tcW w:type="dxa" w:w="3120"/>
            <w:tcMar>
              <w:top w:type="dxa" w:w="60"/>
              <w:left w:type="dxa" w:w="90"/>
              <w:bottom w:type="dxa" w:w="60"/>
              <w:right w:type="dxa" w:w="90"/>
            </w:tcMar>
          </w:tcPr>
          <w:p>
            <w:r>
              <w:rPr>
                <w:b w:val="false"/>
                <w:bCs w:val="false"/>
                <w:color w:val="1A1A17"/>
                <w:sz w:val="19"/>
                <w:szCs w:val="19"/>
              </w:rPr>
              <w:t xml:space="preserve">Yes</w:t>
            </w:r>
          </w:p>
        </w:tc>
      </w:tr>
      <w:tr>
        <w:tc>
          <w:tcPr>
            <w:tcW w:type="dxa" w:w="3120"/>
            <w:tcMar>
              <w:top w:type="dxa" w:w="60"/>
              <w:left w:type="dxa" w:w="90"/>
              <w:bottom w:type="dxa" w:w="60"/>
              <w:right w:type="dxa" w:w="90"/>
            </w:tcMar>
          </w:tcPr>
          <w:p>
            <w:r>
              <w:rPr>
                <w:b w:val="false"/>
                <w:bCs w:val="false"/>
                <w:color w:val="1A1A17"/>
                <w:sz w:val="19"/>
                <w:szCs w:val="19"/>
              </w:rPr>
              <w:t xml:space="preserve">Guna Milan</w:t>
            </w:r>
          </w:p>
        </w:tc>
        <w:tc>
          <w:tcPr>
            <w:tcW w:type="dxa" w:w="3120"/>
            <w:tcMar>
              <w:top w:type="dxa" w:w="60"/>
              <w:left w:type="dxa" w:w="90"/>
              <w:bottom w:type="dxa" w:w="60"/>
              <w:right w:type="dxa" w:w="90"/>
            </w:tcMar>
          </w:tcPr>
          <w:p>
            <w:r>
              <w:rPr>
                <w:b w:val="false"/>
                <w:bCs w:val="false"/>
                <w:color w:val="1A1A17"/>
                <w:sz w:val="19"/>
                <w:szCs w:val="19"/>
              </w:rPr>
              <w:t xml:space="preserve">Ashtakoot 36-guna with Mangal, Nadi and Bhakoot dosha, PDF report</w:t>
            </w:r>
          </w:p>
        </w:tc>
        <w:tc>
          <w:tcPr>
            <w:tcW w:type="dxa" w:w="3120"/>
            <w:tcMar>
              <w:top w:type="dxa" w:w="60"/>
              <w:left w:type="dxa" w:w="90"/>
              <w:bottom w:type="dxa" w:w="60"/>
              <w:right w:type="dxa" w:w="90"/>
            </w:tcMar>
          </w:tcPr>
          <w:p>
            <w:r>
              <w:rPr>
                <w:b w:val="false"/>
                <w:bCs w:val="false"/>
                <w:color w:val="1A1A17"/>
                <w:sz w:val="19"/>
                <w:szCs w:val="19"/>
              </w:rPr>
              <w:t xml:space="preserve">Yes</w:t>
            </w:r>
          </w:p>
        </w:tc>
      </w:tr>
      <w:tr>
        <w:tc>
          <w:tcPr>
            <w:tcW w:type="dxa" w:w="3120"/>
            <w:tcMar>
              <w:top w:type="dxa" w:w="60"/>
              <w:left w:type="dxa" w:w="90"/>
              <w:bottom w:type="dxa" w:w="60"/>
              <w:right w:type="dxa" w:w="90"/>
            </w:tcMar>
          </w:tcPr>
          <w:p>
            <w:r>
              <w:rPr>
                <w:b w:val="false"/>
                <w:bCs w:val="false"/>
                <w:color w:val="1A1A17"/>
                <w:sz w:val="19"/>
                <w:szCs w:val="19"/>
              </w:rPr>
              <w:t xml:space="preserve">Muhurat</w:t>
            </w:r>
          </w:p>
        </w:tc>
        <w:tc>
          <w:tcPr>
            <w:tcW w:type="dxa" w:w="3120"/>
            <w:tcMar>
              <w:top w:type="dxa" w:w="60"/>
              <w:left w:type="dxa" w:w="90"/>
              <w:bottom w:type="dxa" w:w="60"/>
              <w:right w:type="dxa" w:w="90"/>
            </w:tcMar>
          </w:tcPr>
          <w:p>
            <w:r>
              <w:rPr>
                <w:b w:val="false"/>
                <w:bCs w:val="false"/>
                <w:color w:val="1A1A17"/>
                <w:sz w:val="19"/>
                <w:szCs w:val="19"/>
              </w:rPr>
              <w:t xml:space="preserve">Choghadiya day and night, event-specific windows</w:t>
            </w:r>
          </w:p>
        </w:tc>
        <w:tc>
          <w:tcPr>
            <w:tcW w:type="dxa" w:w="3120"/>
            <w:tcMar>
              <w:top w:type="dxa" w:w="60"/>
              <w:left w:type="dxa" w:w="90"/>
              <w:bottom w:type="dxa" w:w="60"/>
              <w:right w:type="dxa" w:w="90"/>
            </w:tcMar>
          </w:tcPr>
          <w:p>
            <w:r>
              <w:rPr>
                <w:b w:val="false"/>
                <w:bCs w:val="false"/>
                <w:color w:val="1A1A17"/>
                <w:sz w:val="19"/>
                <w:szCs w:val="19"/>
              </w:rPr>
              <w:t xml:space="preserve">Yes</w:t>
            </w:r>
          </w:p>
        </w:tc>
      </w:tr>
      <w:tr>
        <w:tc>
          <w:tcPr>
            <w:tcW w:type="dxa" w:w="3120"/>
            <w:tcMar>
              <w:top w:type="dxa" w:w="60"/>
              <w:left w:type="dxa" w:w="90"/>
              <w:bottom w:type="dxa" w:w="60"/>
              <w:right w:type="dxa" w:w="90"/>
            </w:tcMar>
          </w:tcPr>
          <w:p>
            <w:r>
              <w:rPr>
                <w:b w:val="false"/>
                <w:bCs w:val="false"/>
                <w:color w:val="1A1A17"/>
                <w:sz w:val="19"/>
                <w:szCs w:val="19"/>
              </w:rPr>
              <w:t xml:space="preserve">Numerology</w:t>
            </w:r>
          </w:p>
        </w:tc>
        <w:tc>
          <w:tcPr>
            <w:tcW w:type="dxa" w:w="3120"/>
            <w:tcMar>
              <w:top w:type="dxa" w:w="60"/>
              <w:left w:type="dxa" w:w="90"/>
              <w:bottom w:type="dxa" w:w="60"/>
              <w:right w:type="dxa" w:w="90"/>
            </w:tcMar>
          </w:tcPr>
          <w:p>
            <w:r>
              <w:rPr>
                <w:b w:val="false"/>
                <w:bCs w:val="false"/>
                <w:color w:val="1A1A17"/>
                <w:sz w:val="19"/>
                <w:szCs w:val="19"/>
              </w:rPr>
              <w:t xml:space="preserve">Moolank, Bhagyank, name number, and a generated-answer question box</w:t>
            </w:r>
          </w:p>
        </w:tc>
        <w:tc>
          <w:tcPr>
            <w:tcW w:type="dxa" w:w="3120"/>
            <w:tcMar>
              <w:top w:type="dxa" w:w="60"/>
              <w:left w:type="dxa" w:w="90"/>
              <w:bottom w:type="dxa" w:w="60"/>
              <w:right w:type="dxa" w:w="90"/>
            </w:tcMar>
          </w:tcPr>
          <w:p>
            <w:r>
              <w:rPr>
                <w:b w:val="false"/>
                <w:bCs w:val="false"/>
                <w:color w:val="1A1A17"/>
                <w:sz w:val="19"/>
                <w:szCs w:val="19"/>
              </w:rPr>
              <w:t xml:space="preserve">No</w:t>
            </w:r>
          </w:p>
        </w:tc>
      </w:tr>
      <w:tr>
        <w:tc>
          <w:tcPr>
            <w:tcW w:type="dxa" w:w="3120"/>
            <w:tcMar>
              <w:top w:type="dxa" w:w="60"/>
              <w:left w:type="dxa" w:w="90"/>
              <w:bottom w:type="dxa" w:w="60"/>
              <w:right w:type="dxa" w:w="90"/>
            </w:tcMar>
          </w:tcPr>
          <w:p>
            <w:r>
              <w:rPr>
                <w:b w:val="false"/>
                <w:bCs w:val="false"/>
                <w:color w:val="1A1A17"/>
                <w:sz w:val="19"/>
                <w:szCs w:val="19"/>
              </w:rPr>
              <w:t xml:space="preserve">Widgets</w:t>
            </w:r>
          </w:p>
        </w:tc>
        <w:tc>
          <w:tcPr>
            <w:tcW w:type="dxa" w:w="3120"/>
            <w:tcMar>
              <w:top w:type="dxa" w:w="60"/>
              <w:left w:type="dxa" w:w="90"/>
              <w:bottom w:type="dxa" w:w="60"/>
              <w:right w:type="dxa" w:w="90"/>
            </w:tcMar>
          </w:tcPr>
          <w:p>
            <w:r>
              <w:rPr>
                <w:b w:val="false"/>
                <w:bCs w:val="false"/>
                <w:color w:val="1A1A17"/>
                <w:sz w:val="19"/>
                <w:szCs w:val="19"/>
              </w:rPr>
              <w:t xml:space="preserve">Two home-screen widgets: daily Panchang, and Tithi &amp; Nakshatra</w:t>
            </w:r>
          </w:p>
        </w:tc>
        <w:tc>
          <w:tcPr>
            <w:tcW w:type="dxa" w:w="3120"/>
            <w:tcMar>
              <w:top w:type="dxa" w:w="60"/>
              <w:left w:type="dxa" w:w="90"/>
              <w:bottom w:type="dxa" w:w="60"/>
              <w:right w:type="dxa" w:w="90"/>
            </w:tcMar>
          </w:tcPr>
          <w:p>
            <w:r>
              <w:rPr>
                <w:b w:val="false"/>
                <w:bCs w:val="false"/>
                <w:color w:val="1A1A17"/>
                <w:sz w:val="19"/>
                <w:szCs w:val="19"/>
              </w:rPr>
              <w:t xml:space="preserve">Yes</w:t>
            </w:r>
          </w:p>
        </w:tc>
      </w:tr>
      <w:tr>
        <w:tc>
          <w:tcPr>
            <w:tcW w:type="dxa" w:w="3120"/>
            <w:tcMar>
              <w:top w:type="dxa" w:w="60"/>
              <w:left w:type="dxa" w:w="90"/>
              <w:bottom w:type="dxa" w:w="60"/>
              <w:right w:type="dxa" w:w="90"/>
            </w:tcMar>
          </w:tcPr>
          <w:p>
            <w:r>
              <w:rPr>
                <w:b w:val="false"/>
                <w:bCs w:val="false"/>
                <w:color w:val="1A1A17"/>
                <w:sz w:val="19"/>
                <w:szCs w:val="19"/>
              </w:rPr>
              <w:t xml:space="preserve">Notifications</w:t>
            </w:r>
          </w:p>
        </w:tc>
        <w:tc>
          <w:tcPr>
            <w:tcW w:type="dxa" w:w="3120"/>
            <w:tcMar>
              <w:top w:type="dxa" w:w="60"/>
              <w:left w:type="dxa" w:w="90"/>
              <w:bottom w:type="dxa" w:w="60"/>
              <w:right w:type="dxa" w:w="90"/>
            </w:tcMar>
          </w:tcPr>
          <w:p>
            <w:r>
              <w:rPr>
                <w:b w:val="false"/>
                <w:bCs w:val="false"/>
                <w:color w:val="1A1A17"/>
                <w:sz w:val="19"/>
                <w:szCs w:val="19"/>
              </w:rPr>
              <w:t xml:space="preserve">Daily Panchang and muhurat alerts via WorkManager</w:t>
            </w:r>
          </w:p>
        </w:tc>
        <w:tc>
          <w:tcPr>
            <w:tcW w:type="dxa" w:w="3120"/>
            <w:tcMar>
              <w:top w:type="dxa" w:w="60"/>
              <w:left w:type="dxa" w:w="90"/>
              <w:bottom w:type="dxa" w:w="60"/>
              <w:right w:type="dxa" w:w="90"/>
            </w:tcMar>
          </w:tcPr>
          <w:p>
            <w:r>
              <w:rPr>
                <w:b w:val="false"/>
                <w:bCs w:val="false"/>
                <w:color w:val="1A1A17"/>
                <w:sz w:val="19"/>
                <w:szCs w:val="19"/>
              </w:rPr>
              <w:t xml:space="preserve">Yes</w:t>
            </w:r>
          </w:p>
        </w:tc>
      </w:tr>
      <w:tr>
        <w:tc>
          <w:tcPr>
            <w:tcW w:type="dxa" w:w="3120"/>
            <w:tcMar>
              <w:top w:type="dxa" w:w="60"/>
              <w:left w:type="dxa" w:w="90"/>
              <w:bottom w:type="dxa" w:w="60"/>
              <w:right w:type="dxa" w:w="90"/>
            </w:tcMar>
          </w:tcPr>
          <w:p>
            <w:r>
              <w:rPr>
                <w:b w:val="false"/>
                <w:bCs w:val="false"/>
                <w:color w:val="1A1A17"/>
                <w:sz w:val="19"/>
                <w:szCs w:val="19"/>
              </w:rPr>
              <w:t xml:space="preserve">Saved profiles</w:t>
            </w:r>
          </w:p>
        </w:tc>
        <w:tc>
          <w:tcPr>
            <w:tcW w:type="dxa" w:w="3120"/>
            <w:tcMar>
              <w:top w:type="dxa" w:w="60"/>
              <w:left w:type="dxa" w:w="90"/>
              <w:bottom w:type="dxa" w:w="60"/>
              <w:right w:type="dxa" w:w="90"/>
            </w:tcMar>
          </w:tcPr>
          <w:p>
            <w:r>
              <w:rPr>
                <w:b w:val="false"/>
                <w:bCs w:val="false"/>
                <w:color w:val="1A1A17"/>
                <w:sz w:val="19"/>
                <w:szCs w:val="19"/>
              </w:rPr>
              <w:t xml:space="preserve">Birth profiles in a local Room database; optional Firestore backup when signed in</w:t>
            </w:r>
          </w:p>
        </w:tc>
        <w:tc>
          <w:tcPr>
            <w:tcW w:type="dxa" w:w="3120"/>
            <w:tcMar>
              <w:top w:type="dxa" w:w="60"/>
              <w:left w:type="dxa" w:w="90"/>
              <w:bottom w:type="dxa" w:w="60"/>
              <w:right w:type="dxa" w:w="90"/>
            </w:tcMar>
          </w:tcPr>
          <w:p>
            <w:r>
              <w:rPr>
                <w:b w:val="false"/>
                <w:bCs w:val="false"/>
                <w:color w:val="1A1A17"/>
                <w:sz w:val="19"/>
                <w:szCs w:val="19"/>
              </w:rPr>
              <w:t xml:space="preserve">Local yes</w:t>
            </w:r>
          </w:p>
        </w:tc>
      </w:tr>
    </w:tbl>
    <w:p>
      <w:pPr>
        <w:pStyle w:val="Heading1"/>
        <w:spacing w:after="160" w:before="360"/>
      </w:pPr>
      <w:r>
        <w:rPr>
          <w:b/>
          <w:bCs/>
          <w:color w:val="B08A2E"/>
          <w:sz w:val="30"/>
          <w:szCs w:val="30"/>
        </w:rPr>
        <w:t xml:space="preserve">5. Product decisions</w:t>
      </w:r>
    </w:p>
    <w:p>
      <w:pPr>
        <w:pStyle w:val="Heading2"/>
        <w:spacing w:after="120" w:before="260"/>
      </w:pPr>
      <w:r>
        <w:rPr>
          <w:b/>
          <w:bCs/>
          <w:color w:val="1A1A17"/>
          <w:sz w:val="24"/>
          <w:szCs w:val="24"/>
        </w:rPr>
        <w:t xml:space="preserve">5.1 Sign-in is not a gate</w:t>
      </w:r>
    </w:p>
    <w:p>
      <w:pPr>
        <w:spacing w:after="120"/>
      </w:pPr>
      <w:r>
        <w:rPr>
          <w:i w:val="false"/>
          <w:iCs w:val="false"/>
          <w:color w:val="1A1A17"/>
          <w:sz w:val="21"/>
          <w:szCs w:val="21"/>
        </w:rPr>
        <w:t xml:space="preserve">Sign-in used to stand in front of the whole app: onboarding, then a mandatory account, then the app. The Play listing meanwhile said most features work without an account, which was untrue.</w:t>
      </w:r>
    </w:p>
    <w:p>
      <w:pPr>
        <w:spacing w:after="120"/>
      </w:pPr>
      <w:r>
        <w:rPr>
          <w:i w:val="false"/>
          <w:iCs w:val="false"/>
          <w:color w:val="1A1A17"/>
          <w:sz w:val="21"/>
          <w:szCs w:val="21"/>
        </w:rPr>
        <w:t xml:space="preserve">The gate was removed in September 2026. An account buys cloud backup of saved birth profiles and nothing else, so that is where the app now asks for one — from the Saved Profiles cloud card and from Settings. Signing out leaves the user inside the app instead of bouncing them to a login screen. Email sign-in exists alongside Google, because a phone with no Google account on it must still be able to back up.</w:t>
      </w:r>
    </w:p>
    <w:p>
      <w:pPr>
        <w:pStyle w:val="Heading2"/>
        <w:spacing w:after="120" w:before="260"/>
      </w:pPr>
      <w:r>
        <w:rPr>
          <w:b/>
          <w:bCs/>
          <w:color w:val="1A1A17"/>
          <w:sz w:val="24"/>
          <w:szCs w:val="24"/>
        </w:rPr>
        <w:t xml:space="preserve">5.2 No age gate</w:t>
      </w:r>
    </w:p>
    <w:p>
      <w:pPr>
        <w:spacing w:after="120"/>
      </w:pPr>
      <w:r>
        <w:rPr>
          <w:i w:val="false"/>
          <w:iCs w:val="false"/>
          <w:color w:val="1A1A17"/>
          <w:sz w:val="21"/>
          <w:szCs w:val="21"/>
        </w:rPr>
        <w:t xml:space="preserve">The app is not child-directed and does not declare children in its Play target audience. The AdMob request configuration sets MAX_AD_CONTENT_RATING_G, TAG_FOR_CHILD_DIRECTED_TREATMENT_FALSE and TAG_FOR_UNDER_AGE_OF_CONSENT_FALSE, which is what Play and AdMob ask for here. An age gate would be a screen in front of nothing.</w:t>
      </w:r>
    </w:p>
    <w:p>
      <w:pPr>
        <w:pStyle w:val="Heading2"/>
        <w:spacing w:after="120" w:before="260"/>
      </w:pPr>
      <w:r>
        <w:rPr>
          <w:b/>
          <w:bCs/>
          <w:color w:val="1A1A17"/>
          <w:sz w:val="24"/>
          <w:szCs w:val="24"/>
        </w:rPr>
        <w:t xml:space="preserve">5.3 Advertising frequency</w:t>
      </w:r>
    </w:p>
    <w:p>
      <w:pPr>
        <w:spacing w:after="120"/>
      </w:pPr>
      <w:r>
        <w:rPr>
          <w:i w:val="false"/>
          <w:iCs w:val="false"/>
          <w:color w:val="1A1A17"/>
          <w:sz w:val="21"/>
          <w:szCs w:val="21"/>
        </w:rPr>
        <w:t xml:space="preserve">Interstitials fire on a deliberate bottom-navigation tab change only, never on a result the user just asked for. They are held back for the first 90 seconds of a session, spaced at least three minutes apart, and capped at three per session. A banner sits above the bottom bar. PRO users see neither.</w:t>
      </w:r>
    </w:p>
    <w:p>
      <w:pPr>
        <w:pStyle w:val="Heading2"/>
        <w:spacing w:after="120" w:before="260"/>
      </w:pPr>
      <w:r>
        <w:rPr>
          <w:b/>
          <w:bCs/>
          <w:color w:val="1A1A17"/>
          <w:sz w:val="24"/>
          <w:szCs w:val="24"/>
        </w:rPr>
        <w:t xml:space="preserve">5.4 Astrology is presented as interpretation</w:t>
      </w:r>
    </w:p>
    <w:p>
      <w:pPr>
        <w:spacing w:after="120"/>
      </w:pPr>
      <w:r>
        <w:rPr>
          <w:i w:val="false"/>
          <w:iCs w:val="false"/>
          <w:color w:val="1A1A17"/>
          <w:sz w:val="21"/>
          <w:szCs w:val="21"/>
        </w:rPr>
        <w:t xml:space="preserve">Readings are traditional interpretation, not prediction. The app must never imply that a human astrologer is answering. The generated-answer notice under the question box states that answers are produced automatically and can be wrong.</w:t>
      </w:r>
    </w:p>
    <w:p>
      <w:pPr>
        <w:pStyle w:val="Heading1"/>
        <w:spacing w:after="160" w:before="360"/>
      </w:pPr>
      <w:r>
        <w:rPr>
          <w:b/>
          <w:bCs/>
          <w:color w:val="B08A2E"/>
          <w:sz w:val="30"/>
          <w:szCs w:val="30"/>
        </w:rPr>
        <w:t xml:space="preserve">6. Monetisation</w:t>
      </w:r>
    </w:p>
    <w:p>
      <w:pPr>
        <w:spacing w:after="120"/>
      </w:pPr>
      <w:r>
        <w:rPr>
          <w:i w:val="false"/>
          <w:iCs w:val="false"/>
          <w:color w:val="1A1A17"/>
          <w:sz w:val="21"/>
          <w:szCs w:val="21"/>
        </w:rPr>
        <w:t xml:space="preserve">Two revenue lines are designed: AdMob advertising, which is live, and a PRO subscription, which is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F2EEE2" w:color="auto" w:val="clear"/>
            <w:tcMar>
              <w:top w:type="dxa" w:w="60"/>
              <w:left w:type="dxa" w:w="90"/>
              <w:bottom w:type="dxa" w:w="60"/>
              <w:right w:type="dxa" w:w="90"/>
            </w:tcMar>
          </w:tcPr>
          <w:p>
            <w:r>
              <w:rPr>
                <w:b/>
                <w:bCs/>
                <w:color w:val="B08A2E"/>
                <w:sz w:val="19"/>
                <w:szCs w:val="19"/>
              </w:rPr>
              <w:t xml:space="preserve">Item</w:t>
            </w:r>
          </w:p>
        </w:tc>
        <w:tc>
          <w:tcPr>
            <w:tcW w:type="dxa" w:w="4680"/>
            <w:shd w:fill="F2EEE2" w:color="auto" w:val="clear"/>
            <w:tcMar>
              <w:top w:type="dxa" w:w="60"/>
              <w:left w:type="dxa" w:w="90"/>
              <w:bottom w:type="dxa" w:w="60"/>
              <w:right w:type="dxa" w:w="90"/>
            </w:tcMar>
          </w:tcPr>
          <w:p>
            <w:r>
              <w:rPr>
                <w:b/>
                <w:bCs/>
                <w:color w:val="B08A2E"/>
                <w:sz w:val="19"/>
                <w:szCs w:val="19"/>
              </w:rPr>
              <w:t xml:space="preserve">State</w:t>
            </w:r>
          </w:p>
        </w:tc>
      </w:tr>
      <w:tr>
        <w:tc>
          <w:tcPr>
            <w:tcW w:type="dxa" w:w="4680"/>
            <w:tcMar>
              <w:top w:type="dxa" w:w="60"/>
              <w:left w:type="dxa" w:w="90"/>
              <w:bottom w:type="dxa" w:w="60"/>
              <w:right w:type="dxa" w:w="90"/>
            </w:tcMar>
          </w:tcPr>
          <w:p>
            <w:r>
              <w:rPr>
                <w:b w:val="false"/>
                <w:bCs w:val="false"/>
                <w:color w:val="1A1A17"/>
                <w:sz w:val="19"/>
                <w:szCs w:val="19"/>
              </w:rPr>
              <w:t xml:space="preserve">AdMob banner + interstitial with UMP consent</w:t>
            </w:r>
          </w:p>
        </w:tc>
        <w:tc>
          <w:tcPr>
            <w:tcW w:type="dxa" w:w="4680"/>
            <w:tcMar>
              <w:top w:type="dxa" w:w="60"/>
              <w:left w:type="dxa" w:w="90"/>
              <w:bottom w:type="dxa" w:w="60"/>
              <w:right w:type="dxa" w:w="90"/>
            </w:tcMar>
          </w:tcPr>
          <w:p>
            <w:r>
              <w:rPr>
                <w:b w:val="false"/>
                <w:bCs w:val="false"/>
                <w:color w:val="1A1A17"/>
                <w:sz w:val="19"/>
                <w:szCs w:val="19"/>
              </w:rPr>
              <w:t xml:space="preserve">Live</w:t>
            </w:r>
          </w:p>
        </w:tc>
      </w:tr>
      <w:tr>
        <w:tc>
          <w:tcPr>
            <w:tcW w:type="dxa" w:w="4680"/>
            <w:tcMar>
              <w:top w:type="dxa" w:w="60"/>
              <w:left w:type="dxa" w:w="90"/>
              <w:bottom w:type="dxa" w:w="60"/>
              <w:right w:type="dxa" w:w="90"/>
            </w:tcMar>
          </w:tcPr>
          <w:p>
            <w:r>
              <w:rPr>
                <w:b w:val="false"/>
                <w:bCs w:val="false"/>
                <w:color w:val="1A1A17"/>
                <w:sz w:val="19"/>
                <w:szCs w:val="19"/>
              </w:rPr>
              <w:t xml:space="preserve">PRO subscription (product id astroveda_premium_pro_subscription)</w:t>
            </w:r>
          </w:p>
        </w:tc>
        <w:tc>
          <w:tcPr>
            <w:tcW w:type="dxa" w:w="4680"/>
            <w:tcMar>
              <w:top w:type="dxa" w:w="60"/>
              <w:left w:type="dxa" w:w="90"/>
              <w:bottom w:type="dxa" w:w="60"/>
              <w:right w:type="dxa" w:w="90"/>
            </w:tcMar>
          </w:tcPr>
          <w:p>
            <w:r>
              <w:rPr>
                <w:b w:val="false"/>
                <w:bCs w:val="false"/>
                <w:color w:val="1A1A17"/>
                <w:sz w:val="19"/>
                <w:szCs w:val="19"/>
              </w:rPr>
              <w:t xml:space="preserve">Blocked — see below</w:t>
            </w:r>
          </w:p>
        </w:tc>
      </w:tr>
      <w:tr>
        <w:tc>
          <w:tcPr>
            <w:tcW w:type="dxa" w:w="4680"/>
            <w:tcMar>
              <w:top w:type="dxa" w:w="60"/>
              <w:left w:type="dxa" w:w="90"/>
              <w:bottom w:type="dxa" w:w="60"/>
              <w:right w:type="dxa" w:w="90"/>
            </w:tcMar>
          </w:tcPr>
          <w:p>
            <w:r>
              <w:rPr>
                <w:b w:val="false"/>
                <w:bCs w:val="false"/>
                <w:color w:val="1A1A17"/>
                <w:sz w:val="19"/>
                <w:szCs w:val="19"/>
              </w:rPr>
              <w:t xml:space="preserve">Play licence key for purchase signature checks</w:t>
            </w:r>
          </w:p>
        </w:tc>
        <w:tc>
          <w:tcPr>
            <w:tcW w:type="dxa" w:w="4680"/>
            <w:tcMar>
              <w:top w:type="dxa" w:w="60"/>
              <w:left w:type="dxa" w:w="90"/>
              <w:bottom w:type="dxa" w:w="60"/>
              <w:right w:type="dxa" w:w="90"/>
            </w:tcMar>
          </w:tcPr>
          <w:p>
            <w:r>
              <w:rPr>
                <w:b w:val="false"/>
                <w:bCs w:val="false"/>
                <w:color w:val="1A1A17"/>
                <w:sz w:val="19"/>
                <w:szCs w:val="19"/>
              </w:rPr>
              <w:t xml:space="preserve">Not configured</w:t>
            </w:r>
          </w:p>
        </w:tc>
      </w:tr>
      <w:tr>
        <w:tc>
          <w:tcPr>
            <w:tcW w:type="dxa" w:w="4680"/>
            <w:tcMar>
              <w:top w:type="dxa" w:w="60"/>
              <w:left w:type="dxa" w:w="90"/>
              <w:bottom w:type="dxa" w:w="60"/>
              <w:right w:type="dxa" w:w="90"/>
            </w:tcMar>
          </w:tcPr>
          <w:p>
            <w:r>
              <w:rPr>
                <w:b w:val="false"/>
                <w:bCs w:val="false"/>
                <w:color w:val="1A1A17"/>
                <w:sz w:val="19"/>
                <w:szCs w:val="19"/>
              </w:rPr>
              <w:t xml:space="preserve">Server-side purchase verification</w:t>
            </w:r>
          </w:p>
        </w:tc>
        <w:tc>
          <w:tcPr>
            <w:tcW w:type="dxa" w:w="4680"/>
            <w:tcMar>
              <w:top w:type="dxa" w:w="60"/>
              <w:left w:type="dxa" w:w="90"/>
              <w:bottom w:type="dxa" w:w="60"/>
              <w:right w:type="dxa" w:w="90"/>
            </w:tcMar>
          </w:tcPr>
          <w:p>
            <w:r>
              <w:rPr>
                <w:b w:val="false"/>
                <w:bCs w:val="false"/>
                <w:color w:val="1A1A17"/>
                <w:sz w:val="19"/>
                <w:szCs w:val="19"/>
              </w:rPr>
              <w:t xml:space="preserve">Not built; no backend exists</w:t>
            </w:r>
          </w:p>
        </w:tc>
      </w:tr>
    </w:tbl>
    <w:p>
      <w:pPr>
        <w:spacing w:after="120"/>
      </w:pPr>
      <w:r>
        <w:rPr>
          <w:i w:val="false"/>
          <w:iCs w:val="false"/>
          <w:color w:val="1A1A17"/>
          <w:sz w:val="21"/>
          <w:szCs w:val="21"/>
        </w:rPr>
        <w:t xml:space="preserve">The PRO subscription cannot exist yet. Play Console refuses the Subscriptions page until a Google Payments merchant account is set up, which requires bank details and business verification. Until that is done the PRO button leads nowhere, the licence key stays unset, and PurchaseVerifier logs a warning and does not check signatures. None of this is exploitable while nothing is purchasable, and all three should be done in one pass.</w:t>
      </w:r>
    </w:p>
    <w:p>
      <w:pPr>
        <w:pStyle w:val="Heading1"/>
        <w:spacing w:after="160" w:before="360"/>
      </w:pPr>
      <w:r>
        <w:rPr>
          <w:b/>
          <w:bCs/>
          <w:color w:val="B08A2E"/>
          <w:sz w:val="30"/>
          <w:szCs w:val="30"/>
        </w:rPr>
        <w:t xml:space="preserve">7. Out of scope</w:t>
      </w:r>
    </w:p>
    <w:p>
      <w:pPr>
        <w:pStyle w:val="ListParagraph"/>
        <w:numPr>
          <w:ilvl w:val="0"/>
          <w:numId w:val="1"/>
        </w:numPr>
        <w:spacing w:after="80"/>
      </w:pPr>
      <w:r>
        <w:rPr>
          <w:color w:val="1A1A17"/>
          <w:sz w:val="21"/>
          <w:szCs w:val="21"/>
        </w:rPr>
        <w:t xml:space="preserve">iOS. The codebase is native Android.</w:t>
      </w:r>
    </w:p>
    <w:p>
      <w:pPr>
        <w:pStyle w:val="ListParagraph"/>
        <w:numPr>
          <w:ilvl w:val="0"/>
          <w:numId w:val="1"/>
        </w:numPr>
        <w:spacing w:after="80"/>
      </w:pPr>
      <w:r>
        <w:rPr>
          <w:color w:val="1A1A17"/>
          <w:sz w:val="21"/>
          <w:szCs w:val="21"/>
        </w:rPr>
        <w:t xml:space="preserve">Live consultation with a human astrologer.</w:t>
      </w:r>
    </w:p>
    <w:p>
      <w:pPr>
        <w:pStyle w:val="ListParagraph"/>
        <w:numPr>
          <w:ilvl w:val="0"/>
          <w:numId w:val="1"/>
        </w:numPr>
        <w:spacing w:after="80"/>
      </w:pPr>
      <w:r>
        <w:rPr>
          <w:color w:val="1A1A17"/>
          <w:sz w:val="21"/>
          <w:szCs w:val="21"/>
        </w:rPr>
        <w:t xml:space="preserve">Any claim of prediction, or any reading that speaks to health, legal or financial outcomes.</w:t>
      </w:r>
    </w:p>
    <w:p>
      <w:pPr>
        <w:pStyle w:val="Heading1"/>
        <w:spacing w:after="160" w:before="360"/>
      </w:pPr>
      <w:r>
        <w:rPr>
          <w:b/>
          <w:bCs/>
          <w:color w:val="B08A2E"/>
          <w:sz w:val="30"/>
          <w:szCs w:val="30"/>
        </w:rPr>
        <w:t xml:space="preserve">8. Open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F2EEE2" w:color="auto" w:val="clear"/>
            <w:tcMar>
              <w:top w:type="dxa" w:w="60"/>
              <w:left w:type="dxa" w:w="90"/>
              <w:bottom w:type="dxa" w:w="60"/>
              <w:right w:type="dxa" w:w="90"/>
            </w:tcMar>
          </w:tcPr>
          <w:p>
            <w:r>
              <w:rPr>
                <w:b/>
                <w:bCs/>
                <w:color w:val="B08A2E"/>
                <w:sz w:val="19"/>
                <w:szCs w:val="19"/>
              </w:rPr>
              <w:t xml:space="preserve">Item</w:t>
            </w:r>
          </w:p>
        </w:tc>
        <w:tc>
          <w:tcPr>
            <w:tcW w:type="dxa" w:w="3120"/>
            <w:shd w:fill="F2EEE2" w:color="auto" w:val="clear"/>
            <w:tcMar>
              <w:top w:type="dxa" w:w="60"/>
              <w:left w:type="dxa" w:w="90"/>
              <w:bottom w:type="dxa" w:w="60"/>
              <w:right w:type="dxa" w:w="90"/>
            </w:tcMar>
          </w:tcPr>
          <w:p>
            <w:r>
              <w:rPr>
                <w:b/>
                <w:bCs/>
                <w:color w:val="B08A2E"/>
                <w:sz w:val="19"/>
                <w:szCs w:val="19"/>
              </w:rPr>
              <w:t xml:space="preserve">Owner</w:t>
            </w:r>
          </w:p>
        </w:tc>
        <w:tc>
          <w:tcPr>
            <w:tcW w:type="dxa" w:w="3120"/>
            <w:shd w:fill="F2EEE2" w:color="auto" w:val="clear"/>
            <w:tcMar>
              <w:top w:type="dxa" w:w="60"/>
              <w:left w:type="dxa" w:w="90"/>
              <w:bottom w:type="dxa" w:w="60"/>
              <w:right w:type="dxa" w:w="90"/>
            </w:tcMar>
          </w:tcPr>
          <w:p>
            <w:r>
              <w:rPr>
                <w:b/>
                <w:bCs/>
                <w:color w:val="B08A2E"/>
                <w:sz w:val="19"/>
                <w:szCs w:val="19"/>
              </w:rPr>
              <w:t xml:space="preserve">Note</w:t>
            </w:r>
          </w:p>
        </w:tc>
      </w:tr>
      <w:tr>
        <w:tc>
          <w:tcPr>
            <w:tcW w:type="dxa" w:w="3120"/>
            <w:tcMar>
              <w:top w:type="dxa" w:w="60"/>
              <w:left w:type="dxa" w:w="90"/>
              <w:bottom w:type="dxa" w:w="60"/>
              <w:right w:type="dxa" w:w="90"/>
            </w:tcMar>
          </w:tcPr>
          <w:p>
            <w:r>
              <w:rPr>
                <w:b w:val="false"/>
                <w:bCs w:val="false"/>
                <w:color w:val="1A1A17"/>
                <w:sz w:val="19"/>
                <w:szCs w:val="19"/>
              </w:rPr>
              <w:t xml:space="preserve">Google Payments merchant account</w:t>
            </w:r>
          </w:p>
        </w:tc>
        <w:tc>
          <w:tcPr>
            <w:tcW w:type="dxa" w:w="3120"/>
            <w:tcMar>
              <w:top w:type="dxa" w:w="60"/>
              <w:left w:type="dxa" w:w="90"/>
              <w:bottom w:type="dxa" w:w="60"/>
              <w:right w:type="dxa" w:w="90"/>
            </w:tcMar>
          </w:tcPr>
          <w:p>
            <w:r>
              <w:rPr>
                <w:b w:val="false"/>
                <w:bCs w:val="false"/>
                <w:color w:val="1A1A17"/>
                <w:sz w:val="19"/>
                <w:szCs w:val="19"/>
              </w:rPr>
              <w:t xml:space="preserve">Owner</w:t>
            </w:r>
          </w:p>
        </w:tc>
        <w:tc>
          <w:tcPr>
            <w:tcW w:type="dxa" w:w="3120"/>
            <w:tcMar>
              <w:top w:type="dxa" w:w="60"/>
              <w:left w:type="dxa" w:w="90"/>
              <w:bottom w:type="dxa" w:w="60"/>
              <w:right w:type="dxa" w:w="90"/>
            </w:tcMar>
          </w:tcPr>
          <w:p>
            <w:r>
              <w:rPr>
                <w:b w:val="false"/>
                <w:bCs w:val="false"/>
                <w:color w:val="1A1A17"/>
                <w:sz w:val="19"/>
                <w:szCs w:val="19"/>
              </w:rPr>
              <w:t xml:space="preserve">Blocks the whole PRO line</w:t>
            </w:r>
          </w:p>
        </w:tc>
      </w:tr>
      <w:tr>
        <w:tc>
          <w:tcPr>
            <w:tcW w:type="dxa" w:w="3120"/>
            <w:tcMar>
              <w:top w:type="dxa" w:w="60"/>
              <w:left w:type="dxa" w:w="90"/>
              <w:bottom w:type="dxa" w:w="60"/>
              <w:right w:type="dxa" w:w="90"/>
            </w:tcMar>
          </w:tcPr>
          <w:p>
            <w:r>
              <w:rPr>
                <w:b w:val="false"/>
                <w:bCs w:val="false"/>
                <w:color w:val="1A1A17"/>
                <w:sz w:val="19"/>
                <w:szCs w:val="19"/>
              </w:rPr>
              <w:t xml:space="preserve">Festival data beyond 14 Nov 2026</w:t>
            </w:r>
          </w:p>
        </w:tc>
        <w:tc>
          <w:tcPr>
            <w:tcW w:type="dxa" w:w="3120"/>
            <w:tcMar>
              <w:top w:type="dxa" w:w="60"/>
              <w:left w:type="dxa" w:w="90"/>
              <w:bottom w:type="dxa" w:w="60"/>
              <w:right w:type="dxa" w:w="90"/>
            </w:tcMar>
          </w:tcPr>
          <w:p>
            <w:r>
              <w:rPr>
                <w:b w:val="false"/>
                <w:bCs w:val="false"/>
                <w:color w:val="1A1A17"/>
                <w:sz w:val="19"/>
                <w:szCs w:val="19"/>
              </w:rPr>
              <w:t xml:space="preserve">Owner / content</w:t>
            </w:r>
          </w:p>
        </w:tc>
        <w:tc>
          <w:tcPr>
            <w:tcW w:type="dxa" w:w="3120"/>
            <w:tcMar>
              <w:top w:type="dxa" w:w="60"/>
              <w:left w:type="dxa" w:w="90"/>
              <w:bottom w:type="dxa" w:w="60"/>
              <w:right w:type="dxa" w:w="90"/>
            </w:tcMar>
          </w:tcPr>
          <w:p>
            <w:r>
              <w:rPr>
                <w:b w:val="false"/>
                <w:bCs w:val="false"/>
                <w:color w:val="1A1A17"/>
                <w:sz w:val="19"/>
                <w:szCs w:val="19"/>
              </w:rPr>
              <w:t xml:space="preserve">The list ends there; the screen shows an empty-state line after it</w:t>
            </w:r>
          </w:p>
        </w:tc>
      </w:tr>
      <w:tr>
        <w:tc>
          <w:tcPr>
            <w:tcW w:type="dxa" w:w="3120"/>
            <w:tcMar>
              <w:top w:type="dxa" w:w="60"/>
              <w:left w:type="dxa" w:w="90"/>
              <w:bottom w:type="dxa" w:w="60"/>
              <w:right w:type="dxa" w:w="90"/>
            </w:tcMar>
          </w:tcPr>
          <w:p>
            <w:r>
              <w:rPr>
                <w:b w:val="false"/>
                <w:bCs w:val="false"/>
                <w:color w:val="1A1A17"/>
                <w:sz w:val="19"/>
                <w:szCs w:val="19"/>
              </w:rPr>
              <w:t xml:space="preserve">Trademark search for “Revati”</w:t>
            </w:r>
          </w:p>
        </w:tc>
        <w:tc>
          <w:tcPr>
            <w:tcW w:type="dxa" w:w="3120"/>
            <w:tcMar>
              <w:top w:type="dxa" w:w="60"/>
              <w:left w:type="dxa" w:w="90"/>
              <w:bottom w:type="dxa" w:w="60"/>
              <w:right w:type="dxa" w:w="90"/>
            </w:tcMar>
          </w:tcPr>
          <w:p>
            <w:r>
              <w:rPr>
                <w:b w:val="false"/>
                <w:bCs w:val="false"/>
                <w:color w:val="1A1A17"/>
                <w:sz w:val="19"/>
                <w:szCs w:val="19"/>
              </w:rPr>
              <w:t xml:space="preserve">Owner</w:t>
            </w:r>
          </w:p>
        </w:tc>
        <w:tc>
          <w:tcPr>
            <w:tcW w:type="dxa" w:w="3120"/>
            <w:tcMar>
              <w:top w:type="dxa" w:w="60"/>
              <w:left w:type="dxa" w:w="90"/>
              <w:bottom w:type="dxa" w:w="60"/>
              <w:right w:type="dxa" w:w="90"/>
            </w:tcMar>
          </w:tcPr>
          <w:p>
            <w:r>
              <w:rPr>
                <w:b w:val="false"/>
                <w:bCs w:val="false"/>
                <w:color w:val="1A1A17"/>
                <w:sz w:val="19"/>
                <w:szCs w:val="19"/>
              </w:rPr>
              <w:t xml:space="preserve">Not yet done</w:t>
            </w:r>
          </w:p>
        </w:tc>
      </w:tr>
      <w:tr>
        <w:tc>
          <w:tcPr>
            <w:tcW w:type="dxa" w:w="3120"/>
            <w:tcMar>
              <w:top w:type="dxa" w:w="60"/>
              <w:left w:type="dxa" w:w="90"/>
              <w:bottom w:type="dxa" w:w="60"/>
              <w:right w:type="dxa" w:w="90"/>
            </w:tcMar>
          </w:tcPr>
          <w:p>
            <w:r>
              <w:rPr>
                <w:b w:val="false"/>
                <w:bCs w:val="false"/>
                <w:color w:val="1A1A17"/>
                <w:sz w:val="19"/>
                <w:szCs w:val="19"/>
              </w:rPr>
              <w:t xml:space="preserve">Domain and social handles</w:t>
            </w:r>
          </w:p>
        </w:tc>
        <w:tc>
          <w:tcPr>
            <w:tcW w:type="dxa" w:w="3120"/>
            <w:tcMar>
              <w:top w:type="dxa" w:w="60"/>
              <w:left w:type="dxa" w:w="90"/>
              <w:bottom w:type="dxa" w:w="60"/>
              <w:right w:type="dxa" w:w="90"/>
            </w:tcMar>
          </w:tcPr>
          <w:p>
            <w:r>
              <w:rPr>
                <w:b w:val="false"/>
                <w:bCs w:val="false"/>
                <w:color w:val="1A1A17"/>
                <w:sz w:val="19"/>
                <w:szCs w:val="19"/>
              </w:rPr>
              <w:t xml:space="preserve">Owner</w:t>
            </w:r>
          </w:p>
        </w:tc>
        <w:tc>
          <w:tcPr>
            <w:tcW w:type="dxa" w:w="3120"/>
            <w:tcMar>
              <w:top w:type="dxa" w:w="60"/>
              <w:left w:type="dxa" w:w="90"/>
              <w:bottom w:type="dxa" w:w="60"/>
              <w:right w:type="dxa" w:w="90"/>
            </w:tcMar>
          </w:tcPr>
          <w:p>
            <w:r>
              <w:rPr>
                <w:b w:val="false"/>
                <w:bCs w:val="false"/>
                <w:color w:val="1A1A17"/>
                <w:sz w:val="19"/>
                <w:szCs w:val="19"/>
              </w:rPr>
              <w:t xml:space="preserve">revati.app / revati.in / @revatiapp were free and are unregistered</w:t>
            </w:r>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2026-09-03T00:47:08.299Z</dcterms:created>
  <dcterms:modified xsi:type="dcterms:W3CDTF">2026-09-03T00:47:08.300Z</dcterms:modified>
</cp:coreProperties>
</file>

<file path=docProps/custom.xml><?xml version="1.0" encoding="utf-8"?>
<Properties xmlns="http://schemas.openxmlformats.org/officeDocument/2006/custom-properties" xmlns:vt="http://schemas.openxmlformats.org/officeDocument/2006/docPropsVTypes"/>
</file>