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2E"/>
          <w:sz w:val="48"/>
          <w:szCs w:val="48"/>
        </w:rPr>
        <w:t xml:space="preserve">03</w:t>
      </w:r>
    </w:p>
    <w:p>
      <w:pPr>
        <w:spacing w:after="40"/>
      </w:pPr>
      <w:r>
        <w:rPr>
          <w:b/>
          <w:bCs/>
          <w:color w:val="1A1A17"/>
          <w:sz w:val="40"/>
          <w:szCs w:val="40"/>
        </w:rPr>
        <w:t xml:space="preserve">Security &amp; Access Document</w:t>
      </w:r>
    </w:p>
    <w:p>
      <w:pPr>
        <w:pBdr>
          <w:bottom w:val="single" w:color="B08A2E" w:sz="8" w:space="6"/>
        </w:pBdr>
        <w:spacing w:after="240"/>
      </w:pPr>
      <w:r>
        <w:rPr>
          <w:color w:val="5A5A52"/>
          <w:sz w:val="22"/>
          <w:szCs w:val="22"/>
        </w:rPr>
        <w:t xml:space="preserve">SAD — what protects the app, and what does not yet</w:t>
      </w:r>
    </w:p>
    <w:p>
      <w:pPr>
        <w:spacing w:after="80"/>
      </w:pPr>
      <w:r>
        <w:rPr>
          <w:b/>
          <w:bCs/>
          <w:color w:val="1A1A17"/>
          <w:sz w:val="21"/>
          <w:szCs w:val="21"/>
        </w:rPr>
        <w:t xml:space="preserve">Revati — Kundli &amp; Panchang  ·  Android (Kotlin, Jetpack Compose)</w:t>
      </w:r>
    </w:p>
    <w:p>
      <w:pPr>
        <w:spacing w:after="320"/>
      </w:pPr>
      <w:r>
        <w:rPr>
          <w:color w:val="5A5A52"/>
          <w:sz w:val="20"/>
          <w:szCs w:val="20"/>
        </w:rPr>
        <w:t xml:space="preserve">Version 2.0  |  September 2026  |  Sunil Kumar Saini (Msunjay Enterprises)</w:t>
      </w:r>
    </w:p>
    <w:p>
      <w:pPr>
        <w:pBdr>
          <w:left w:val="single" w:color="B08A2E" w:sz="18" w:space="12"/>
        </w:pBdr>
        <w:spacing w:after="160" w:before="120"/>
      </w:pPr>
      <w:r>
        <w:rPr>
          <w:i/>
          <w:iCs/>
          <w:color w:val="5A5A52"/>
          <w:sz w:val="20"/>
          <w:szCs w:val="20"/>
        </w:rPr>
        <w:t xml:space="preserve">Version 1.0 of this document (July 2026) described a React Native + Expo + Supabase application. That app was never built. Revati shipped as a native Android app in Kotlin and Jetpack Compose, with Firebase in place of Supabase and an on-device ephemeris in place of a server. This revision replaces that document in full and describes only what is in the shipped code.</w:t>
      </w:r>
    </w:p>
    <w:p>
      <w:pPr>
        <w:pStyle w:val="Heading1"/>
        <w:spacing w:after="160" w:before="360"/>
      </w:pPr>
      <w:r>
        <w:rPr>
          <w:b/>
          <w:bCs/>
          <w:color w:val="B08A2E"/>
          <w:sz w:val="30"/>
          <w:szCs w:val="30"/>
        </w:rPr>
        <w:t xml:space="preserve">1. Scope</w:t>
      </w:r>
    </w:p>
    <w:p>
      <w:pPr>
        <w:spacing w:after="120"/>
      </w:pPr>
      <w:r>
        <w:rPr>
          <w:i w:val="false"/>
          <w:iCs w:val="false"/>
          <w:color w:val="1A1A17"/>
          <w:sz w:val="21"/>
          <w:szCs w:val="21"/>
        </w:rPr>
        <w:t xml:space="preserve">Revati has no backend of its own. The attack surface is the Android client, the Firebase project behind it, and the Play Billing integration. This document records the controls that are in place, states plainly the two that are not, and lists what only the owner can do from a console.</w:t>
      </w:r>
    </w:p>
    <w:p>
      <w:pPr>
        <w:pStyle w:val="Heading1"/>
        <w:spacing w:after="160" w:before="360"/>
      </w:pPr>
      <w:r>
        <w:rPr>
          <w:b/>
          <w:bCs/>
          <w:color w:val="B08A2E"/>
          <w:sz w:val="30"/>
          <w:szCs w:val="30"/>
        </w:rPr>
        <w:t xml:space="preserve">2. OWASP Mobile Top 10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F2EEE2" w:color="auto" w:val="clear"/>
            <w:tcMar>
              <w:top w:type="dxa" w:w="60"/>
              <w:left w:type="dxa" w:w="90"/>
              <w:bottom w:type="dxa" w:w="60"/>
              <w:right w:type="dxa" w:w="90"/>
            </w:tcMar>
          </w:tcPr>
          <w:p>
            <w:r>
              <w:rPr>
                <w:b/>
                <w:bCs/>
                <w:color w:val="B08A2E"/>
                <w:sz w:val="19"/>
                <w:szCs w:val="19"/>
              </w:rPr>
              <w:t xml:space="preserve">#</w:t>
            </w:r>
          </w:p>
        </w:tc>
        <w:tc>
          <w:tcPr>
            <w:tcW w:type="dxa" w:w="2340"/>
            <w:shd w:fill="F2EEE2" w:color="auto" w:val="clear"/>
            <w:tcMar>
              <w:top w:type="dxa" w:w="60"/>
              <w:left w:type="dxa" w:w="90"/>
              <w:bottom w:type="dxa" w:w="60"/>
              <w:right w:type="dxa" w:w="90"/>
            </w:tcMar>
          </w:tcPr>
          <w:p>
            <w:r>
              <w:rPr>
                <w:b/>
                <w:bCs/>
                <w:color w:val="B08A2E"/>
                <w:sz w:val="19"/>
                <w:szCs w:val="19"/>
              </w:rPr>
              <w:t xml:space="preserve">Risk</w:t>
            </w:r>
          </w:p>
        </w:tc>
        <w:tc>
          <w:tcPr>
            <w:tcW w:type="dxa" w:w="2340"/>
            <w:shd w:fill="F2EEE2" w:color="auto" w:val="clear"/>
            <w:tcMar>
              <w:top w:type="dxa" w:w="60"/>
              <w:left w:type="dxa" w:w="90"/>
              <w:bottom w:type="dxa" w:w="60"/>
              <w:right w:type="dxa" w:w="90"/>
            </w:tcMar>
          </w:tcPr>
          <w:p>
            <w:r>
              <w:rPr>
                <w:b/>
                <w:bCs/>
                <w:color w:val="B08A2E"/>
                <w:sz w:val="19"/>
                <w:szCs w:val="19"/>
              </w:rPr>
              <w:t xml:space="preserve">State</w:t>
            </w:r>
          </w:p>
        </w:tc>
        <w:tc>
          <w:tcPr>
            <w:tcW w:type="dxa" w:w="2340"/>
            <w:shd w:fill="F2EEE2" w:color="auto" w:val="clear"/>
            <w:tcMar>
              <w:top w:type="dxa" w:w="60"/>
              <w:left w:type="dxa" w:w="90"/>
              <w:bottom w:type="dxa" w:w="60"/>
              <w:right w:type="dxa" w:w="90"/>
            </w:tcMar>
          </w:tcPr>
          <w:p>
            <w:r>
              <w:rPr>
                <w:b/>
                <w:bCs/>
                <w:color w:val="B08A2E"/>
                <w:sz w:val="19"/>
                <w:szCs w:val="19"/>
              </w:rPr>
              <w:t xml:space="preserve">What is in place</w:t>
            </w:r>
          </w:p>
        </w:tc>
      </w:tr>
      <w:tr>
        <w:tc>
          <w:tcPr>
            <w:tcW w:type="dxa" w:w="2340"/>
            <w:tcMar>
              <w:top w:type="dxa" w:w="60"/>
              <w:left w:type="dxa" w:w="90"/>
              <w:bottom w:type="dxa" w:w="60"/>
              <w:right w:type="dxa" w:w="90"/>
            </w:tcMar>
          </w:tcPr>
          <w:p>
            <w:r>
              <w:rPr>
                <w:b w:val="false"/>
                <w:bCs w:val="false"/>
                <w:color w:val="1A1A17"/>
                <w:sz w:val="19"/>
                <w:szCs w:val="19"/>
              </w:rPr>
              <w:t xml:space="preserve">M1</w:t>
            </w:r>
          </w:p>
        </w:tc>
        <w:tc>
          <w:tcPr>
            <w:tcW w:type="dxa" w:w="2340"/>
            <w:tcMar>
              <w:top w:type="dxa" w:w="60"/>
              <w:left w:type="dxa" w:w="90"/>
              <w:bottom w:type="dxa" w:w="60"/>
              <w:right w:type="dxa" w:w="90"/>
            </w:tcMar>
          </w:tcPr>
          <w:p>
            <w:r>
              <w:rPr>
                <w:b w:val="false"/>
                <w:bCs w:val="false"/>
                <w:color w:val="1A1A17"/>
                <w:sz w:val="19"/>
                <w:szCs w:val="19"/>
              </w:rPr>
              <w:t xml:space="preserve">Improper credential usage</w:t>
            </w:r>
          </w:p>
        </w:tc>
        <w:tc>
          <w:tcPr>
            <w:tcW w:type="dxa" w:w="2340"/>
            <w:tcMar>
              <w:top w:type="dxa" w:w="60"/>
              <w:left w:type="dxa" w:w="90"/>
              <w:bottom w:type="dxa" w:w="60"/>
              <w:right w:type="dxa" w:w="90"/>
            </w:tcMar>
          </w:tcPr>
          <w:p>
            <w:r>
              <w:rPr>
                <w:b w:val="false"/>
                <w:bCs w:val="false"/>
                <w:color w:val="1A1A17"/>
                <w:sz w:val="19"/>
                <w:szCs w:val="19"/>
              </w:rPr>
              <w:t xml:space="preserve">Mitigated</w:t>
            </w:r>
          </w:p>
        </w:tc>
        <w:tc>
          <w:tcPr>
            <w:tcW w:type="dxa" w:w="2340"/>
            <w:tcMar>
              <w:top w:type="dxa" w:w="60"/>
              <w:left w:type="dxa" w:w="90"/>
              <w:bottom w:type="dxa" w:w="60"/>
              <w:right w:type="dxa" w:w="90"/>
            </w:tcMar>
          </w:tcPr>
          <w:p>
            <w:r>
              <w:rPr>
                <w:b w:val="false"/>
                <w:bCs w:val="false"/>
                <w:color w:val="1A1A17"/>
                <w:sz w:val="19"/>
                <w:szCs w:val="19"/>
              </w:rPr>
              <w:t xml:space="preserve">No credentials in source. Secrets come from a gitignored .env via the secrets Gradle plugin. Keystores and .env are gitignored. Auth tokens are held by Firebase Auth, not by app code.</w:t>
            </w:r>
          </w:p>
        </w:tc>
      </w:tr>
      <w:tr>
        <w:tc>
          <w:tcPr>
            <w:tcW w:type="dxa" w:w="2340"/>
            <w:tcMar>
              <w:top w:type="dxa" w:w="60"/>
              <w:left w:type="dxa" w:w="90"/>
              <w:bottom w:type="dxa" w:w="60"/>
              <w:right w:type="dxa" w:w="90"/>
            </w:tcMar>
          </w:tcPr>
          <w:p>
            <w:r>
              <w:rPr>
                <w:b w:val="false"/>
                <w:bCs w:val="false"/>
                <w:color w:val="1A1A17"/>
                <w:sz w:val="19"/>
                <w:szCs w:val="19"/>
              </w:rPr>
              <w:t xml:space="preserve">M2</w:t>
            </w:r>
          </w:p>
        </w:tc>
        <w:tc>
          <w:tcPr>
            <w:tcW w:type="dxa" w:w="2340"/>
            <w:tcMar>
              <w:top w:type="dxa" w:w="60"/>
              <w:left w:type="dxa" w:w="90"/>
              <w:bottom w:type="dxa" w:w="60"/>
              <w:right w:type="dxa" w:w="90"/>
            </w:tcMar>
          </w:tcPr>
          <w:p>
            <w:r>
              <w:rPr>
                <w:b w:val="false"/>
                <w:bCs w:val="false"/>
                <w:color w:val="1A1A17"/>
                <w:sz w:val="19"/>
                <w:szCs w:val="19"/>
              </w:rPr>
              <w:t xml:space="preserve">Inadequate supply chain security</w:t>
            </w:r>
          </w:p>
        </w:tc>
        <w:tc>
          <w:tcPr>
            <w:tcW w:type="dxa" w:w="2340"/>
            <w:tcMar>
              <w:top w:type="dxa" w:w="60"/>
              <w:left w:type="dxa" w:w="90"/>
              <w:bottom w:type="dxa" w:w="60"/>
              <w:right w:type="dxa" w:w="90"/>
            </w:tcMar>
          </w:tcPr>
          <w:p>
            <w:r>
              <w:rPr>
                <w:b w:val="false"/>
                <w:bCs w:val="false"/>
                <w:color w:val="1A1A17"/>
                <w:sz w:val="19"/>
                <w:szCs w:val="19"/>
              </w:rPr>
              <w:t xml:space="preserve">Partial</w:t>
            </w:r>
          </w:p>
        </w:tc>
        <w:tc>
          <w:tcPr>
            <w:tcW w:type="dxa" w:w="2340"/>
            <w:tcMar>
              <w:top w:type="dxa" w:w="60"/>
              <w:left w:type="dxa" w:w="90"/>
              <w:bottom w:type="dxa" w:w="60"/>
              <w:right w:type="dxa" w:w="90"/>
            </w:tcMar>
          </w:tcPr>
          <w:p>
            <w:r>
              <w:rPr>
                <w:b w:val="false"/>
                <w:bCs w:val="false"/>
                <w:color w:val="1A1A17"/>
                <w:sz w:val="19"/>
                <w:szCs w:val="19"/>
              </w:rPr>
              <w:t xml:space="preserve">Dependencies are pinned through a version catalog and two BOMs. There is no automated dependency scan.</w:t>
            </w:r>
          </w:p>
        </w:tc>
      </w:tr>
      <w:tr>
        <w:tc>
          <w:tcPr>
            <w:tcW w:type="dxa" w:w="2340"/>
            <w:tcMar>
              <w:top w:type="dxa" w:w="60"/>
              <w:left w:type="dxa" w:w="90"/>
              <w:bottom w:type="dxa" w:w="60"/>
              <w:right w:type="dxa" w:w="90"/>
            </w:tcMar>
          </w:tcPr>
          <w:p>
            <w:r>
              <w:rPr>
                <w:b w:val="false"/>
                <w:bCs w:val="false"/>
                <w:color w:val="1A1A17"/>
                <w:sz w:val="19"/>
                <w:szCs w:val="19"/>
              </w:rPr>
              <w:t xml:space="preserve">M3</w:t>
            </w:r>
          </w:p>
        </w:tc>
        <w:tc>
          <w:tcPr>
            <w:tcW w:type="dxa" w:w="2340"/>
            <w:tcMar>
              <w:top w:type="dxa" w:w="60"/>
              <w:left w:type="dxa" w:w="90"/>
              <w:bottom w:type="dxa" w:w="60"/>
              <w:right w:type="dxa" w:w="90"/>
            </w:tcMar>
          </w:tcPr>
          <w:p>
            <w:r>
              <w:rPr>
                <w:b w:val="false"/>
                <w:bCs w:val="false"/>
                <w:color w:val="1A1A17"/>
                <w:sz w:val="19"/>
                <w:szCs w:val="19"/>
              </w:rPr>
              <w:t xml:space="preserve">Insecure authentication/authorisation</w:t>
            </w:r>
          </w:p>
        </w:tc>
        <w:tc>
          <w:tcPr>
            <w:tcW w:type="dxa" w:w="2340"/>
            <w:tcMar>
              <w:top w:type="dxa" w:w="60"/>
              <w:left w:type="dxa" w:w="90"/>
              <w:bottom w:type="dxa" w:w="60"/>
              <w:right w:type="dxa" w:w="90"/>
            </w:tcMar>
          </w:tcPr>
          <w:p>
            <w:r>
              <w:rPr>
                <w:b w:val="false"/>
                <w:bCs w:val="false"/>
                <w:color w:val="1A1A17"/>
                <w:sz w:val="19"/>
                <w:szCs w:val="19"/>
              </w:rPr>
              <w:t xml:space="preserve">Mitigated</w:t>
            </w:r>
          </w:p>
        </w:tc>
        <w:tc>
          <w:tcPr>
            <w:tcW w:type="dxa" w:w="2340"/>
            <w:tcMar>
              <w:top w:type="dxa" w:w="60"/>
              <w:left w:type="dxa" w:w="90"/>
              <w:bottom w:type="dxa" w:w="60"/>
              <w:right w:type="dxa" w:w="90"/>
            </w:tcMar>
          </w:tcPr>
          <w:p>
            <w:r>
              <w:rPr>
                <w:b w:val="false"/>
                <w:bCs w:val="false"/>
                <w:color w:val="1A1A17"/>
                <w:sz w:val="19"/>
                <w:szCs w:val="19"/>
              </w:rPr>
              <w:t xml:space="preserve">Firebase Auth with Google (Credential Manager) and email/password. Firestore paths are scoped to the caller's uid. Server-side rules must match — see 6.1.</w:t>
            </w:r>
          </w:p>
        </w:tc>
      </w:tr>
      <w:tr>
        <w:tc>
          <w:tcPr>
            <w:tcW w:type="dxa" w:w="2340"/>
            <w:tcMar>
              <w:top w:type="dxa" w:w="60"/>
              <w:left w:type="dxa" w:w="90"/>
              <w:bottom w:type="dxa" w:w="60"/>
              <w:right w:type="dxa" w:w="90"/>
            </w:tcMar>
          </w:tcPr>
          <w:p>
            <w:r>
              <w:rPr>
                <w:b w:val="false"/>
                <w:bCs w:val="false"/>
                <w:color w:val="1A1A17"/>
                <w:sz w:val="19"/>
                <w:szCs w:val="19"/>
              </w:rPr>
              <w:t xml:space="preserve">M4</w:t>
            </w:r>
          </w:p>
        </w:tc>
        <w:tc>
          <w:tcPr>
            <w:tcW w:type="dxa" w:w="2340"/>
            <w:tcMar>
              <w:top w:type="dxa" w:w="60"/>
              <w:left w:type="dxa" w:w="90"/>
              <w:bottom w:type="dxa" w:w="60"/>
              <w:right w:type="dxa" w:w="90"/>
            </w:tcMar>
          </w:tcPr>
          <w:p>
            <w:r>
              <w:rPr>
                <w:b w:val="false"/>
                <w:bCs w:val="false"/>
                <w:color w:val="1A1A17"/>
                <w:sz w:val="19"/>
                <w:szCs w:val="19"/>
              </w:rPr>
              <w:t xml:space="preserve">Insufficient input/output validation</w:t>
            </w:r>
          </w:p>
        </w:tc>
        <w:tc>
          <w:tcPr>
            <w:tcW w:type="dxa" w:w="2340"/>
            <w:tcMar>
              <w:top w:type="dxa" w:w="60"/>
              <w:left w:type="dxa" w:w="90"/>
              <w:bottom w:type="dxa" w:w="60"/>
              <w:right w:type="dxa" w:w="90"/>
            </w:tcMar>
          </w:tcPr>
          <w:p>
            <w:r>
              <w:rPr>
                <w:b w:val="false"/>
                <w:bCs w:val="false"/>
                <w:color w:val="1A1A17"/>
                <w:sz w:val="19"/>
                <w:szCs w:val="19"/>
              </w:rPr>
              <w:t xml:space="preserve">Mitigated</w:t>
            </w:r>
          </w:p>
        </w:tc>
        <w:tc>
          <w:tcPr>
            <w:tcW w:type="dxa" w:w="2340"/>
            <w:tcMar>
              <w:top w:type="dxa" w:w="60"/>
              <w:left w:type="dxa" w:w="90"/>
              <w:bottom w:type="dxa" w:w="60"/>
              <w:right w:type="dxa" w:w="90"/>
            </w:tcMar>
          </w:tcPr>
          <w:p>
            <w:r>
              <w:rPr>
                <w:b w:val="false"/>
                <w:bCs w:val="false"/>
                <w:color w:val="1A1A17"/>
                <w:sz w:val="19"/>
                <w:szCs w:val="19"/>
              </w:rPr>
              <w:t xml:space="preserve">Birth-detail forms validate before Firebase sees them. The WebView loads only two bundled asset pages.</w:t>
            </w:r>
          </w:p>
        </w:tc>
      </w:tr>
      <w:tr>
        <w:tc>
          <w:tcPr>
            <w:tcW w:type="dxa" w:w="2340"/>
            <w:tcMar>
              <w:top w:type="dxa" w:w="60"/>
              <w:left w:type="dxa" w:w="90"/>
              <w:bottom w:type="dxa" w:w="60"/>
              <w:right w:type="dxa" w:w="90"/>
            </w:tcMar>
          </w:tcPr>
          <w:p>
            <w:r>
              <w:rPr>
                <w:b w:val="false"/>
                <w:bCs w:val="false"/>
                <w:color w:val="1A1A17"/>
                <w:sz w:val="19"/>
                <w:szCs w:val="19"/>
              </w:rPr>
              <w:t xml:space="preserve">M5</w:t>
            </w:r>
          </w:p>
        </w:tc>
        <w:tc>
          <w:tcPr>
            <w:tcW w:type="dxa" w:w="2340"/>
            <w:tcMar>
              <w:top w:type="dxa" w:w="60"/>
              <w:left w:type="dxa" w:w="90"/>
              <w:bottom w:type="dxa" w:w="60"/>
              <w:right w:type="dxa" w:w="90"/>
            </w:tcMar>
          </w:tcPr>
          <w:p>
            <w:r>
              <w:rPr>
                <w:b w:val="false"/>
                <w:bCs w:val="false"/>
                <w:color w:val="1A1A17"/>
                <w:sz w:val="19"/>
                <w:szCs w:val="19"/>
              </w:rPr>
              <w:t xml:space="preserve">Insecure communication</w:t>
            </w:r>
          </w:p>
        </w:tc>
        <w:tc>
          <w:tcPr>
            <w:tcW w:type="dxa" w:w="2340"/>
            <w:tcMar>
              <w:top w:type="dxa" w:w="60"/>
              <w:left w:type="dxa" w:w="90"/>
              <w:bottom w:type="dxa" w:w="60"/>
              <w:right w:type="dxa" w:w="90"/>
            </w:tcMar>
          </w:tcPr>
          <w:p>
            <w:r>
              <w:rPr>
                <w:b w:val="false"/>
                <w:bCs w:val="false"/>
                <w:color w:val="1A1A17"/>
                <w:sz w:val="19"/>
                <w:szCs w:val="19"/>
              </w:rPr>
              <w:t xml:space="preserve">Mitigated</w:t>
            </w:r>
          </w:p>
        </w:tc>
        <w:tc>
          <w:tcPr>
            <w:tcW w:type="dxa" w:w="2340"/>
            <w:tcMar>
              <w:top w:type="dxa" w:w="60"/>
              <w:left w:type="dxa" w:w="90"/>
              <w:bottom w:type="dxa" w:w="60"/>
              <w:right w:type="dxa" w:w="90"/>
            </w:tcMar>
          </w:tcPr>
          <w:p>
            <w:r>
              <w:rPr>
                <w:b w:val="false"/>
                <w:bCs w:val="false"/>
                <w:color w:val="1A1A17"/>
                <w:sz w:val="19"/>
                <w:szCs w:val="19"/>
              </w:rPr>
              <w:t xml:space="preserve">network_security_config sets cleartextTrafficPermitted=false with system trust anchors, so all traffic is HTTPS.</w:t>
            </w:r>
          </w:p>
        </w:tc>
      </w:tr>
      <w:tr>
        <w:tc>
          <w:tcPr>
            <w:tcW w:type="dxa" w:w="2340"/>
            <w:tcMar>
              <w:top w:type="dxa" w:w="60"/>
              <w:left w:type="dxa" w:w="90"/>
              <w:bottom w:type="dxa" w:w="60"/>
              <w:right w:type="dxa" w:w="90"/>
            </w:tcMar>
          </w:tcPr>
          <w:p>
            <w:r>
              <w:rPr>
                <w:b w:val="false"/>
                <w:bCs w:val="false"/>
                <w:color w:val="1A1A17"/>
                <w:sz w:val="19"/>
                <w:szCs w:val="19"/>
              </w:rPr>
              <w:t xml:space="preserve">M6</w:t>
            </w:r>
          </w:p>
        </w:tc>
        <w:tc>
          <w:tcPr>
            <w:tcW w:type="dxa" w:w="2340"/>
            <w:tcMar>
              <w:top w:type="dxa" w:w="60"/>
              <w:left w:type="dxa" w:w="90"/>
              <w:bottom w:type="dxa" w:w="60"/>
              <w:right w:type="dxa" w:w="90"/>
            </w:tcMar>
          </w:tcPr>
          <w:p>
            <w:r>
              <w:rPr>
                <w:b w:val="false"/>
                <w:bCs w:val="false"/>
                <w:color w:val="1A1A17"/>
                <w:sz w:val="19"/>
                <w:szCs w:val="19"/>
              </w:rPr>
              <w:t xml:space="preserve">Inadequate privacy controls</w:t>
            </w:r>
          </w:p>
        </w:tc>
        <w:tc>
          <w:tcPr>
            <w:tcW w:type="dxa" w:w="2340"/>
            <w:tcMar>
              <w:top w:type="dxa" w:w="60"/>
              <w:left w:type="dxa" w:w="90"/>
              <w:bottom w:type="dxa" w:w="60"/>
              <w:right w:type="dxa" w:w="90"/>
            </w:tcMar>
          </w:tcPr>
          <w:p>
            <w:r>
              <w:rPr>
                <w:b w:val="false"/>
                <w:bCs w:val="false"/>
                <w:color w:val="1A1A17"/>
                <w:sz w:val="19"/>
                <w:szCs w:val="19"/>
              </w:rPr>
              <w:t xml:space="preserve">Mitigated</w:t>
            </w:r>
          </w:p>
        </w:tc>
        <w:tc>
          <w:tcPr>
            <w:tcW w:type="dxa" w:w="2340"/>
            <w:tcMar>
              <w:top w:type="dxa" w:w="60"/>
              <w:left w:type="dxa" w:w="90"/>
              <w:bottom w:type="dxa" w:w="60"/>
              <w:right w:type="dxa" w:w="90"/>
            </w:tcMar>
          </w:tcPr>
          <w:p>
            <w:r>
              <w:rPr>
                <w:b w:val="false"/>
                <w:bCs w:val="false"/>
                <w:color w:val="1A1A17"/>
                <w:sz w:val="19"/>
                <w:szCs w:val="19"/>
              </w:rPr>
              <w:t xml:space="preserve">Birth data excluded from Auto Backup and device transfer. Account and data deletion available in-app. UMP consent before personalised ads.</w:t>
            </w:r>
          </w:p>
        </w:tc>
      </w:tr>
      <w:tr>
        <w:tc>
          <w:tcPr>
            <w:tcW w:type="dxa" w:w="2340"/>
            <w:tcMar>
              <w:top w:type="dxa" w:w="60"/>
              <w:left w:type="dxa" w:w="90"/>
              <w:bottom w:type="dxa" w:w="60"/>
              <w:right w:type="dxa" w:w="90"/>
            </w:tcMar>
          </w:tcPr>
          <w:p>
            <w:r>
              <w:rPr>
                <w:b w:val="false"/>
                <w:bCs w:val="false"/>
                <w:color w:val="1A1A17"/>
                <w:sz w:val="19"/>
                <w:szCs w:val="19"/>
              </w:rPr>
              <w:t xml:space="preserve">M7</w:t>
            </w:r>
          </w:p>
        </w:tc>
        <w:tc>
          <w:tcPr>
            <w:tcW w:type="dxa" w:w="2340"/>
            <w:tcMar>
              <w:top w:type="dxa" w:w="60"/>
              <w:left w:type="dxa" w:w="90"/>
              <w:bottom w:type="dxa" w:w="60"/>
              <w:right w:type="dxa" w:w="90"/>
            </w:tcMar>
          </w:tcPr>
          <w:p>
            <w:r>
              <w:rPr>
                <w:b w:val="false"/>
                <w:bCs w:val="false"/>
                <w:color w:val="1A1A17"/>
                <w:sz w:val="19"/>
                <w:szCs w:val="19"/>
              </w:rPr>
              <w:t xml:space="preserve">Insufficient binary protections</w:t>
            </w:r>
          </w:p>
        </w:tc>
        <w:tc>
          <w:tcPr>
            <w:tcW w:type="dxa" w:w="2340"/>
            <w:tcMar>
              <w:top w:type="dxa" w:w="60"/>
              <w:left w:type="dxa" w:w="90"/>
              <w:bottom w:type="dxa" w:w="60"/>
              <w:right w:type="dxa" w:w="90"/>
            </w:tcMar>
          </w:tcPr>
          <w:p>
            <w:r>
              <w:rPr>
                <w:b w:val="false"/>
                <w:bCs w:val="false"/>
                <w:color w:val="1A1A17"/>
                <w:sz w:val="19"/>
                <w:szCs w:val="19"/>
              </w:rPr>
              <w:t xml:space="preserve">Partial</w:t>
            </w:r>
          </w:p>
        </w:tc>
        <w:tc>
          <w:tcPr>
            <w:tcW w:type="dxa" w:w="2340"/>
            <w:tcMar>
              <w:top w:type="dxa" w:w="60"/>
              <w:left w:type="dxa" w:w="90"/>
              <w:bottom w:type="dxa" w:w="60"/>
              <w:right w:type="dxa" w:w="90"/>
            </w:tcMar>
          </w:tcPr>
          <w:p>
            <w:r>
              <w:rPr>
                <w:b w:val="false"/>
                <w:bCs w:val="false"/>
                <w:color w:val="1A1A17"/>
                <w:sz w:val="19"/>
                <w:szCs w:val="19"/>
              </w:rPr>
              <w:t xml:space="preserve">R8 minification and resource shrinking on release. Play Integrity attestation through App Check. No root or tamper detection.</w:t>
            </w:r>
          </w:p>
        </w:tc>
      </w:tr>
      <w:tr>
        <w:tc>
          <w:tcPr>
            <w:tcW w:type="dxa" w:w="2340"/>
            <w:tcMar>
              <w:top w:type="dxa" w:w="60"/>
              <w:left w:type="dxa" w:w="90"/>
              <w:bottom w:type="dxa" w:w="60"/>
              <w:right w:type="dxa" w:w="90"/>
            </w:tcMar>
          </w:tcPr>
          <w:p>
            <w:r>
              <w:rPr>
                <w:b w:val="false"/>
                <w:bCs w:val="false"/>
                <w:color w:val="1A1A17"/>
                <w:sz w:val="19"/>
                <w:szCs w:val="19"/>
              </w:rPr>
              <w:t xml:space="preserve">M8</w:t>
            </w:r>
          </w:p>
        </w:tc>
        <w:tc>
          <w:tcPr>
            <w:tcW w:type="dxa" w:w="2340"/>
            <w:tcMar>
              <w:top w:type="dxa" w:w="60"/>
              <w:left w:type="dxa" w:w="90"/>
              <w:bottom w:type="dxa" w:w="60"/>
              <w:right w:type="dxa" w:w="90"/>
            </w:tcMar>
          </w:tcPr>
          <w:p>
            <w:r>
              <w:rPr>
                <w:b w:val="false"/>
                <w:bCs w:val="false"/>
                <w:color w:val="1A1A17"/>
                <w:sz w:val="19"/>
                <w:szCs w:val="19"/>
              </w:rPr>
              <w:t xml:space="preserve">Security misconfiguration</w:t>
            </w:r>
          </w:p>
        </w:tc>
        <w:tc>
          <w:tcPr>
            <w:tcW w:type="dxa" w:w="2340"/>
            <w:tcMar>
              <w:top w:type="dxa" w:w="60"/>
              <w:left w:type="dxa" w:w="90"/>
              <w:bottom w:type="dxa" w:w="60"/>
              <w:right w:type="dxa" w:w="90"/>
            </w:tcMar>
          </w:tcPr>
          <w:p>
            <w:r>
              <w:rPr>
                <w:b w:val="false"/>
                <w:bCs w:val="false"/>
                <w:color w:val="1A1A17"/>
                <w:sz w:val="19"/>
                <w:szCs w:val="19"/>
              </w:rPr>
              <w:t xml:space="preserve">Mitigated</w:t>
            </w:r>
          </w:p>
        </w:tc>
        <w:tc>
          <w:tcPr>
            <w:tcW w:type="dxa" w:w="2340"/>
            <w:tcMar>
              <w:top w:type="dxa" w:w="60"/>
              <w:left w:type="dxa" w:w="90"/>
              <w:bottom w:type="dxa" w:w="60"/>
              <w:right w:type="dxa" w:w="90"/>
            </w:tcMar>
          </w:tcPr>
          <w:p>
            <w:r>
              <w:rPr>
                <w:b w:val="false"/>
                <w:bCs w:val="false"/>
                <w:color w:val="1A1A17"/>
                <w:sz w:val="19"/>
                <w:szCs w:val="19"/>
              </w:rPr>
              <w:t xml:space="preserve">allowBackup is on but the sensitive paths are excluded explicitly. Only MainActivity and the two widget receivers are exported, all with no custom permissions to abuse.</w:t>
            </w:r>
          </w:p>
        </w:tc>
      </w:tr>
      <w:tr>
        <w:tc>
          <w:tcPr>
            <w:tcW w:type="dxa" w:w="2340"/>
            <w:tcMar>
              <w:top w:type="dxa" w:w="60"/>
              <w:left w:type="dxa" w:w="90"/>
              <w:bottom w:type="dxa" w:w="60"/>
              <w:right w:type="dxa" w:w="90"/>
            </w:tcMar>
          </w:tcPr>
          <w:p>
            <w:r>
              <w:rPr>
                <w:b w:val="false"/>
                <w:bCs w:val="false"/>
                <w:color w:val="1A1A17"/>
                <w:sz w:val="19"/>
                <w:szCs w:val="19"/>
              </w:rPr>
              <w:t xml:space="preserve">M9</w:t>
            </w:r>
          </w:p>
        </w:tc>
        <w:tc>
          <w:tcPr>
            <w:tcW w:type="dxa" w:w="2340"/>
            <w:tcMar>
              <w:top w:type="dxa" w:w="60"/>
              <w:left w:type="dxa" w:w="90"/>
              <w:bottom w:type="dxa" w:w="60"/>
              <w:right w:type="dxa" w:w="90"/>
            </w:tcMar>
          </w:tcPr>
          <w:p>
            <w:r>
              <w:rPr>
                <w:b w:val="false"/>
                <w:bCs w:val="false"/>
                <w:color w:val="1A1A17"/>
                <w:sz w:val="19"/>
                <w:szCs w:val="19"/>
              </w:rPr>
              <w:t xml:space="preserve">Insecure data storage</w:t>
            </w:r>
          </w:p>
        </w:tc>
        <w:tc>
          <w:tcPr>
            <w:tcW w:type="dxa" w:w="2340"/>
            <w:tcMar>
              <w:top w:type="dxa" w:w="60"/>
              <w:left w:type="dxa" w:w="90"/>
              <w:bottom w:type="dxa" w:w="60"/>
              <w:right w:type="dxa" w:w="90"/>
            </w:tcMar>
          </w:tcPr>
          <w:p>
            <w:r>
              <w:rPr>
                <w:b w:val="false"/>
                <w:bCs w:val="false"/>
                <w:color w:val="1A1A17"/>
                <w:sz w:val="19"/>
                <w:szCs w:val="19"/>
              </w:rPr>
              <w:t xml:space="preserve">Partial</w:t>
            </w:r>
          </w:p>
        </w:tc>
        <w:tc>
          <w:tcPr>
            <w:tcW w:type="dxa" w:w="2340"/>
            <w:tcMar>
              <w:top w:type="dxa" w:w="60"/>
              <w:left w:type="dxa" w:w="90"/>
              <w:bottom w:type="dxa" w:w="60"/>
              <w:right w:type="dxa" w:w="90"/>
            </w:tcMar>
          </w:tcPr>
          <w:p>
            <w:r>
              <w:rPr>
                <w:b w:val="false"/>
                <w:bCs w:val="false"/>
                <w:color w:val="1A1A17"/>
                <w:sz w:val="19"/>
                <w:szCs w:val="19"/>
              </w:rPr>
              <w:t xml:space="preserve">The Room database is not encrypted. It is excluded from backup and transfer, so exposure requires physical access to an unlocked device or a rooted one.</w:t>
            </w:r>
          </w:p>
        </w:tc>
      </w:tr>
      <w:tr>
        <w:tc>
          <w:tcPr>
            <w:tcW w:type="dxa" w:w="2340"/>
            <w:tcMar>
              <w:top w:type="dxa" w:w="60"/>
              <w:left w:type="dxa" w:w="90"/>
              <w:bottom w:type="dxa" w:w="60"/>
              <w:right w:type="dxa" w:w="90"/>
            </w:tcMar>
          </w:tcPr>
          <w:p>
            <w:r>
              <w:rPr>
                <w:b w:val="false"/>
                <w:bCs w:val="false"/>
                <w:color w:val="1A1A17"/>
                <w:sz w:val="19"/>
                <w:szCs w:val="19"/>
              </w:rPr>
              <w:t xml:space="preserve">M10</w:t>
            </w:r>
          </w:p>
        </w:tc>
        <w:tc>
          <w:tcPr>
            <w:tcW w:type="dxa" w:w="2340"/>
            <w:tcMar>
              <w:top w:type="dxa" w:w="60"/>
              <w:left w:type="dxa" w:w="90"/>
              <w:bottom w:type="dxa" w:w="60"/>
              <w:right w:type="dxa" w:w="90"/>
            </w:tcMar>
          </w:tcPr>
          <w:p>
            <w:r>
              <w:rPr>
                <w:b w:val="false"/>
                <w:bCs w:val="false"/>
                <w:color w:val="1A1A17"/>
                <w:sz w:val="19"/>
                <w:szCs w:val="19"/>
              </w:rPr>
              <w:t xml:space="preserve">Insufficient cryptography</w:t>
            </w:r>
          </w:p>
        </w:tc>
        <w:tc>
          <w:tcPr>
            <w:tcW w:type="dxa" w:w="2340"/>
            <w:tcMar>
              <w:top w:type="dxa" w:w="60"/>
              <w:left w:type="dxa" w:w="90"/>
              <w:bottom w:type="dxa" w:w="60"/>
              <w:right w:type="dxa" w:w="90"/>
            </w:tcMar>
          </w:tcPr>
          <w:p>
            <w:r>
              <w:rPr>
                <w:b w:val="false"/>
                <w:bCs w:val="false"/>
                <w:color w:val="1A1A17"/>
                <w:sz w:val="19"/>
                <w:szCs w:val="19"/>
              </w:rPr>
              <w:t xml:space="preserve">N/A</w:t>
            </w:r>
          </w:p>
        </w:tc>
        <w:tc>
          <w:tcPr>
            <w:tcW w:type="dxa" w:w="2340"/>
            <w:tcMar>
              <w:top w:type="dxa" w:w="60"/>
              <w:left w:type="dxa" w:w="90"/>
              <w:bottom w:type="dxa" w:w="60"/>
              <w:right w:type="dxa" w:w="90"/>
            </w:tcMar>
          </w:tcPr>
          <w:p>
            <w:r>
              <w:rPr>
                <w:b w:val="false"/>
                <w:bCs w:val="false"/>
                <w:color w:val="1A1A17"/>
                <w:sz w:val="19"/>
                <w:szCs w:val="19"/>
              </w:rPr>
              <w:t xml:space="preserve">The app performs no cryptography of its own beyond verifying Play purchase signatures (RSA/SHA-1 via the Play licence key).</w:t>
            </w:r>
          </w:p>
        </w:tc>
      </w:tr>
    </w:tbl>
    <w:p>
      <w:pPr>
        <w:pStyle w:val="Heading1"/>
        <w:spacing w:after="160" w:before="360"/>
      </w:pPr>
      <w:r>
        <w:rPr>
          <w:b/>
          <w:bCs/>
          <w:color w:val="B08A2E"/>
          <w:sz w:val="30"/>
          <w:szCs w:val="30"/>
        </w:rPr>
        <w:t xml:space="preserve">3. Application security controls</w:t>
      </w:r>
    </w:p>
    <w:p>
      <w:pPr>
        <w:pStyle w:val="Heading2"/>
        <w:spacing w:after="120" w:before="260"/>
      </w:pPr>
      <w:r>
        <w:rPr>
          <w:b/>
          <w:bCs/>
          <w:color w:val="1A1A17"/>
          <w:sz w:val="24"/>
          <w:szCs w:val="24"/>
        </w:rPr>
        <w:t xml:space="preserve">3.1 Network</w:t>
      </w:r>
    </w:p>
    <w:p>
      <w:pPr>
        <w:spacing w:after="120"/>
      </w:pPr>
      <w:r>
        <w:rPr>
          <w:i w:val="false"/>
          <w:iCs w:val="false"/>
          <w:color w:val="1A1A17"/>
          <w:sz w:val="21"/>
          <w:szCs w:val="21"/>
        </w:rPr>
        <w:t xml:space="preserve">res/xml/network_security_config.xml disallows cleartext traffic entirely and trusts only system certificates. There is no debug-only override and no user-added CA trust.</w:t>
      </w:r>
    </w:p>
    <w:p>
      <w:pPr>
        <w:pStyle w:val="Heading2"/>
        <w:spacing w:after="120" w:before="260"/>
      </w:pPr>
      <w:r>
        <w:rPr>
          <w:b/>
          <w:bCs/>
          <w:color w:val="1A1A17"/>
          <w:sz w:val="24"/>
          <w:szCs w:val="24"/>
        </w:rPr>
        <w:t xml:space="preserve">3.2 App Check</w:t>
      </w:r>
    </w:p>
    <w:p>
      <w:pPr>
        <w:spacing w:after="120"/>
      </w:pPr>
      <w:r>
        <w:rPr>
          <w:i w:val="false"/>
          <w:iCs w:val="false"/>
          <w:color w:val="1A1A17"/>
          <w:sz w:val="21"/>
          <w:szCs w:val="21"/>
        </w:rPr>
        <w:t xml:space="preserve">App Check is installed at startup. Release builds use the Play Integrity provider, which attests that the request comes from a genuine install of this app, signed with the registered key, on a real device. Debug builds use the debug provider from a variant source set, because the debug provider only ships in debugImplementation and referencing it from shared code breaks the release compile.</w:t>
      </w:r>
    </w:p>
    <w:p>
      <w:pPr>
        <w:spacing w:after="120"/>
      </w:pPr>
      <w:r>
        <w:rPr>
          <w:i w:val="false"/>
          <w:iCs w:val="false"/>
          <w:color w:val="1A1A17"/>
          <w:sz w:val="21"/>
          <w:szCs w:val="21"/>
        </w:rPr>
        <w:t xml:space="preserve">A debug build's App Check token must be registered once per machine in Firebase Console → App Check → Manage debug tokens, or the Firebase AI Logic calls fail with "App Check token is invalid". This affects only the generated-answer feature and only in debug.</w:t>
      </w:r>
    </w:p>
    <w:p>
      <w:pPr>
        <w:pStyle w:val="Heading2"/>
        <w:spacing w:after="120" w:before="260"/>
      </w:pPr>
      <w:r>
        <w:rPr>
          <w:b/>
          <w:bCs/>
          <w:color w:val="1A1A17"/>
          <w:sz w:val="24"/>
          <w:szCs w:val="24"/>
        </w:rPr>
        <w:t xml:space="preserve">3.3 WebView</w:t>
      </w:r>
    </w:p>
    <w:p>
      <w:pPr>
        <w:spacing w:after="120"/>
      </w:pPr>
      <w:r>
        <w:rPr>
          <w:i w:val="false"/>
          <w:iCs w:val="false"/>
          <w:color w:val="1A1A17"/>
          <w:sz w:val="21"/>
          <w:szCs w:val="21"/>
        </w:rPr>
        <w:t xml:space="preserve">The privacy policy and terms open in a WebView that loads two static HTML pages from assets. JavaScript, DOM storage, allowFileAccessFromFileURLs and allowUniversalAccessFromFileURLs are all disabled. A shouldOverrideUrlLoading hook pins the view to those two URLs and sends anything else to the user's browser.</w:t>
      </w:r>
    </w:p>
    <w:p>
      <w:pPr>
        <w:pStyle w:val="Heading2"/>
        <w:spacing w:after="120" w:before="260"/>
      </w:pPr>
      <w:r>
        <w:rPr>
          <w:b/>
          <w:bCs/>
          <w:color w:val="1A1A17"/>
          <w:sz w:val="24"/>
          <w:szCs w:val="24"/>
        </w:rPr>
        <w:t xml:space="preserve">3.4 Backup and transfer</w:t>
      </w:r>
    </w:p>
    <w:p>
      <w:pPr>
        <w:spacing w:after="120"/>
      </w:pPr>
      <w:r>
        <w:rPr>
          <w:i w:val="false"/>
          <w:iCs w:val="false"/>
          <w:color w:val="1A1A17"/>
          <w:sz w:val="21"/>
          <w:szCs w:val="21"/>
        </w:rPr>
        <w:t xml:space="preserve">backup_rules.xml (API ≤30) and data_extraction_rules.xml (API 31+) both exclude the Room database and astroveda_prefs.xml from cloud backup and from device transfer. Both files were previously untouched Android Studio templates with every rule commented out while allowBackup was true, which meant unencrypted birth data was being uploaded to Google Drive.</w:t>
      </w:r>
    </w:p>
    <w:p>
      <w:pPr>
        <w:pStyle w:val="Heading2"/>
        <w:spacing w:after="120" w:before="260"/>
      </w:pPr>
      <w:r>
        <w:rPr>
          <w:b/>
          <w:bCs/>
          <w:color w:val="1A1A17"/>
          <w:sz w:val="24"/>
          <w:szCs w:val="24"/>
        </w:rPr>
        <w:t xml:space="preserve">3.5 Exported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EEE2" w:color="auto" w:val="clear"/>
            <w:tcMar>
              <w:top w:type="dxa" w:w="60"/>
              <w:left w:type="dxa" w:w="90"/>
              <w:bottom w:type="dxa" w:w="60"/>
              <w:right w:type="dxa" w:w="90"/>
            </w:tcMar>
          </w:tcPr>
          <w:p>
            <w:r>
              <w:rPr>
                <w:b/>
                <w:bCs/>
                <w:color w:val="B08A2E"/>
                <w:sz w:val="19"/>
                <w:szCs w:val="19"/>
              </w:rPr>
              <w:t xml:space="preserve">Component</w:t>
            </w:r>
          </w:p>
        </w:tc>
        <w:tc>
          <w:tcPr>
            <w:tcW w:type="dxa" w:w="3120"/>
            <w:shd w:fill="F2EEE2" w:color="auto" w:val="clear"/>
            <w:tcMar>
              <w:top w:type="dxa" w:w="60"/>
              <w:left w:type="dxa" w:w="90"/>
              <w:bottom w:type="dxa" w:w="60"/>
              <w:right w:type="dxa" w:w="90"/>
            </w:tcMar>
          </w:tcPr>
          <w:p>
            <w:r>
              <w:rPr>
                <w:b/>
                <w:bCs/>
                <w:color w:val="B08A2E"/>
                <w:sz w:val="19"/>
                <w:szCs w:val="19"/>
              </w:rPr>
              <w:t xml:space="preserve">Exported</w:t>
            </w:r>
          </w:p>
        </w:tc>
        <w:tc>
          <w:tcPr>
            <w:tcW w:type="dxa" w:w="3120"/>
            <w:shd w:fill="F2EEE2" w:color="auto" w:val="clear"/>
            <w:tcMar>
              <w:top w:type="dxa" w:w="60"/>
              <w:left w:type="dxa" w:w="90"/>
              <w:bottom w:type="dxa" w:w="60"/>
              <w:right w:type="dxa" w:w="90"/>
            </w:tcMar>
          </w:tcPr>
          <w:p>
            <w:r>
              <w:rPr>
                <w:b/>
                <w:bCs/>
                <w:color w:val="B08A2E"/>
                <w:sz w:val="19"/>
                <w:szCs w:val="19"/>
              </w:rPr>
              <w:t xml:space="preserve">Why</w:t>
            </w:r>
          </w:p>
        </w:tc>
      </w:tr>
      <w:tr>
        <w:tc>
          <w:tcPr>
            <w:tcW w:type="dxa" w:w="3120"/>
            <w:tcMar>
              <w:top w:type="dxa" w:w="60"/>
              <w:left w:type="dxa" w:w="90"/>
              <w:bottom w:type="dxa" w:w="60"/>
              <w:right w:type="dxa" w:w="90"/>
            </w:tcMar>
          </w:tcPr>
          <w:p>
            <w:r>
              <w:rPr>
                <w:b w:val="false"/>
                <w:bCs w:val="false"/>
                <w:color w:val="1A1A17"/>
                <w:sz w:val="19"/>
                <w:szCs w:val="19"/>
              </w:rPr>
              <w:t xml:space="preserve">com.example.MainActivity</w:t>
            </w:r>
          </w:p>
        </w:tc>
        <w:tc>
          <w:tcPr>
            <w:tcW w:type="dxa" w:w="3120"/>
            <w:tcMar>
              <w:top w:type="dxa" w:w="60"/>
              <w:left w:type="dxa" w:w="90"/>
              <w:bottom w:type="dxa" w:w="60"/>
              <w:right w:type="dxa" w:w="90"/>
            </w:tcMar>
          </w:tcPr>
          <w:p>
            <w:r>
              <w:rPr>
                <w:b w:val="false"/>
                <w:bCs w:val="false"/>
                <w:color w:val="1A1A17"/>
                <w:sz w:val="19"/>
                <w:szCs w:val="19"/>
              </w:rPr>
              <w:t xml:space="preserve">true</w:t>
            </w:r>
          </w:p>
        </w:tc>
        <w:tc>
          <w:tcPr>
            <w:tcW w:type="dxa" w:w="3120"/>
            <w:tcMar>
              <w:top w:type="dxa" w:w="60"/>
              <w:left w:type="dxa" w:w="90"/>
              <w:bottom w:type="dxa" w:w="60"/>
              <w:right w:type="dxa" w:w="90"/>
            </w:tcMar>
          </w:tcPr>
          <w:p>
            <w:r>
              <w:rPr>
                <w:b w:val="false"/>
                <w:bCs w:val="false"/>
                <w:color w:val="1A1A17"/>
                <w:sz w:val="19"/>
                <w:szCs w:val="19"/>
              </w:rPr>
              <w:t xml:space="preserve">Launcher entry point</w:t>
            </w:r>
          </w:p>
        </w:tc>
      </w:tr>
      <w:tr>
        <w:tc>
          <w:tcPr>
            <w:tcW w:type="dxa" w:w="3120"/>
            <w:tcMar>
              <w:top w:type="dxa" w:w="60"/>
              <w:left w:type="dxa" w:w="90"/>
              <w:bottom w:type="dxa" w:w="60"/>
              <w:right w:type="dxa" w:w="90"/>
            </w:tcMar>
          </w:tcPr>
          <w:p>
            <w:r>
              <w:rPr>
                <w:b w:val="false"/>
                <w:bCs w:val="false"/>
                <w:color w:val="1A1A17"/>
                <w:sz w:val="19"/>
                <w:szCs w:val="19"/>
              </w:rPr>
              <w:t xml:space="preserve">PanchangWidgetProvider</w:t>
            </w:r>
          </w:p>
        </w:tc>
        <w:tc>
          <w:tcPr>
            <w:tcW w:type="dxa" w:w="3120"/>
            <w:tcMar>
              <w:top w:type="dxa" w:w="60"/>
              <w:left w:type="dxa" w:w="90"/>
              <w:bottom w:type="dxa" w:w="60"/>
              <w:right w:type="dxa" w:w="90"/>
            </w:tcMar>
          </w:tcPr>
          <w:p>
            <w:r>
              <w:rPr>
                <w:b w:val="false"/>
                <w:bCs w:val="false"/>
                <w:color w:val="1A1A17"/>
                <w:sz w:val="19"/>
                <w:szCs w:val="19"/>
              </w:rPr>
              <w:t xml:space="preserve">true</w:t>
            </w:r>
          </w:p>
        </w:tc>
        <w:tc>
          <w:tcPr>
            <w:tcW w:type="dxa" w:w="3120"/>
            <w:tcMar>
              <w:top w:type="dxa" w:w="60"/>
              <w:left w:type="dxa" w:w="90"/>
              <w:bottom w:type="dxa" w:w="60"/>
              <w:right w:type="dxa" w:w="90"/>
            </w:tcMar>
          </w:tcPr>
          <w:p>
            <w:r>
              <w:rPr>
                <w:b w:val="false"/>
                <w:bCs w:val="false"/>
                <w:color w:val="1A1A17"/>
                <w:sz w:val="19"/>
                <w:szCs w:val="19"/>
              </w:rPr>
              <w:t xml:space="preserve">AppWidget hosts are external processes</w:t>
            </w:r>
          </w:p>
        </w:tc>
      </w:tr>
      <w:tr>
        <w:tc>
          <w:tcPr>
            <w:tcW w:type="dxa" w:w="3120"/>
            <w:tcMar>
              <w:top w:type="dxa" w:w="60"/>
              <w:left w:type="dxa" w:w="90"/>
              <w:bottom w:type="dxa" w:w="60"/>
              <w:right w:type="dxa" w:w="90"/>
            </w:tcMar>
          </w:tcPr>
          <w:p>
            <w:r>
              <w:rPr>
                <w:b w:val="false"/>
                <w:bCs w:val="false"/>
                <w:color w:val="1A1A17"/>
                <w:sz w:val="19"/>
                <w:szCs w:val="19"/>
              </w:rPr>
              <w:t xml:space="preserve">TithiNakshatraWidgetProvider</w:t>
            </w:r>
          </w:p>
        </w:tc>
        <w:tc>
          <w:tcPr>
            <w:tcW w:type="dxa" w:w="3120"/>
            <w:tcMar>
              <w:top w:type="dxa" w:w="60"/>
              <w:left w:type="dxa" w:w="90"/>
              <w:bottom w:type="dxa" w:w="60"/>
              <w:right w:type="dxa" w:w="90"/>
            </w:tcMar>
          </w:tcPr>
          <w:p>
            <w:r>
              <w:rPr>
                <w:b w:val="false"/>
                <w:bCs w:val="false"/>
                <w:color w:val="1A1A17"/>
                <w:sz w:val="19"/>
                <w:szCs w:val="19"/>
              </w:rPr>
              <w:t xml:space="preserve">true</w:t>
            </w:r>
          </w:p>
        </w:tc>
        <w:tc>
          <w:tcPr>
            <w:tcW w:type="dxa" w:w="3120"/>
            <w:tcMar>
              <w:top w:type="dxa" w:w="60"/>
              <w:left w:type="dxa" w:w="90"/>
              <w:bottom w:type="dxa" w:w="60"/>
              <w:right w:type="dxa" w:w="90"/>
            </w:tcMar>
          </w:tcPr>
          <w:p>
            <w:r>
              <w:rPr>
                <w:b w:val="false"/>
                <w:bCs w:val="false"/>
                <w:color w:val="1A1A17"/>
                <w:sz w:val="19"/>
                <w:szCs w:val="19"/>
              </w:rPr>
              <w:t xml:space="preserve">Same</w:t>
            </w:r>
          </w:p>
        </w:tc>
      </w:tr>
      <w:tr>
        <w:tc>
          <w:tcPr>
            <w:tcW w:type="dxa" w:w="3120"/>
            <w:tcMar>
              <w:top w:type="dxa" w:w="60"/>
              <w:left w:type="dxa" w:w="90"/>
              <w:bottom w:type="dxa" w:w="60"/>
              <w:right w:type="dxa" w:w="90"/>
            </w:tcMar>
          </w:tcPr>
          <w:p>
            <w:r>
              <w:rPr>
                <w:b w:val="false"/>
                <w:bCs w:val="false"/>
                <w:color w:val="1A1A17"/>
                <w:sz w:val="19"/>
                <w:szCs w:val="19"/>
              </w:rPr>
              <w:t xml:space="preserve">FileProvider</w:t>
            </w:r>
          </w:p>
        </w:tc>
        <w:tc>
          <w:tcPr>
            <w:tcW w:type="dxa" w:w="3120"/>
            <w:tcMar>
              <w:top w:type="dxa" w:w="60"/>
              <w:left w:type="dxa" w:w="90"/>
              <w:bottom w:type="dxa" w:w="60"/>
              <w:right w:type="dxa" w:w="90"/>
            </w:tcMar>
          </w:tcPr>
          <w:p>
            <w:r>
              <w:rPr>
                <w:b w:val="false"/>
                <w:bCs w:val="false"/>
                <w:color w:val="1A1A17"/>
                <w:sz w:val="19"/>
                <w:szCs w:val="19"/>
              </w:rPr>
              <w:t xml:space="preserve">false</w:t>
            </w:r>
          </w:p>
        </w:tc>
        <w:tc>
          <w:tcPr>
            <w:tcW w:type="dxa" w:w="3120"/>
            <w:tcMar>
              <w:top w:type="dxa" w:w="60"/>
              <w:left w:type="dxa" w:w="90"/>
              <w:bottom w:type="dxa" w:w="60"/>
              <w:right w:type="dxa" w:w="90"/>
            </w:tcMar>
          </w:tcPr>
          <w:p>
            <w:r>
              <w:rPr>
                <w:b w:val="false"/>
                <w:bCs w:val="false"/>
                <w:color w:val="1A1A17"/>
                <w:sz w:val="19"/>
                <w:szCs w:val="19"/>
              </w:rPr>
              <w:t xml:space="preserve">grantUriPermissions only, scoped to cache and external-files PDF paths</w:t>
            </w:r>
          </w:p>
        </w:tc>
      </w:tr>
    </w:tbl>
    <w:p>
      <w:pPr>
        <w:spacing w:after="120"/>
      </w:pPr>
      <w:r>
        <w:rPr>
          <w:i w:val="false"/>
          <w:iCs w:val="false"/>
          <w:color w:val="1A1A17"/>
          <w:sz w:val="21"/>
          <w:szCs w:val="21"/>
        </w:rPr>
        <w:t xml:space="preserve">No deep links, no exported services, no custom permissions.</w:t>
      </w:r>
    </w:p>
    <w:p>
      <w:pPr>
        <w:pStyle w:val="Heading1"/>
        <w:spacing w:after="160" w:before="360"/>
      </w:pPr>
      <w:r>
        <w:rPr>
          <w:b/>
          <w:bCs/>
          <w:color w:val="B08A2E"/>
          <w:sz w:val="30"/>
          <w:szCs w:val="30"/>
        </w:rPr>
        <w:t xml:space="preserve">4. Signing and Firebase — the part that broke in production</w:t>
      </w:r>
    </w:p>
    <w:p>
      <w:pPr>
        <w:spacing w:after="120"/>
      </w:pPr>
      <w:r>
        <w:rPr>
          <w:i w:val="false"/>
          <w:iCs w:val="false"/>
          <w:color w:val="1A1A17"/>
          <w:sz w:val="21"/>
          <w:szCs w:val="21"/>
        </w:rPr>
        <w:t xml:space="preserve">Play re-signs every upload with its own app signing key. A Play-installed app therefore presents a different certificate than the one it was signed with, and Google Sign-In matches on that certificate. Getting this wrong took Google Sign-In down for every real user of the first release, while it worked on every device tested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EEE2" w:color="auto" w:val="clear"/>
            <w:tcMar>
              <w:top w:type="dxa" w:w="60"/>
              <w:left w:type="dxa" w:w="90"/>
              <w:bottom w:type="dxa" w:w="60"/>
              <w:right w:type="dxa" w:w="90"/>
            </w:tcMar>
          </w:tcPr>
          <w:p>
            <w:r>
              <w:rPr>
                <w:b/>
                <w:bCs/>
                <w:color w:val="B08A2E"/>
                <w:sz w:val="19"/>
                <w:szCs w:val="19"/>
              </w:rPr>
              <w:t xml:space="preserve">Key</w:t>
            </w:r>
          </w:p>
        </w:tc>
        <w:tc>
          <w:tcPr>
            <w:tcW w:type="dxa" w:w="4680"/>
            <w:shd w:fill="F2EEE2" w:color="auto" w:val="clear"/>
            <w:tcMar>
              <w:top w:type="dxa" w:w="60"/>
              <w:left w:type="dxa" w:w="90"/>
              <w:bottom w:type="dxa" w:w="60"/>
              <w:right w:type="dxa" w:w="90"/>
            </w:tcMar>
          </w:tcPr>
          <w:p>
            <w:r>
              <w:rPr>
                <w:b/>
                <w:bCs/>
                <w:color w:val="B08A2E"/>
                <w:sz w:val="19"/>
                <w:szCs w:val="19"/>
              </w:rPr>
              <w:t xml:space="preserve">SHA-1</w:t>
            </w:r>
          </w:p>
        </w:tc>
      </w:tr>
      <w:tr>
        <w:tc>
          <w:tcPr>
            <w:tcW w:type="dxa" w:w="4680"/>
            <w:tcMar>
              <w:top w:type="dxa" w:w="60"/>
              <w:left w:type="dxa" w:w="90"/>
              <w:bottom w:type="dxa" w:w="60"/>
              <w:right w:type="dxa" w:w="90"/>
            </w:tcMar>
          </w:tcPr>
          <w:p>
            <w:r>
              <w:rPr>
                <w:b w:val="false"/>
                <w:bCs w:val="false"/>
                <w:color w:val="1A1A17"/>
                <w:sz w:val="19"/>
                <w:szCs w:val="19"/>
              </w:rPr>
              <w:t xml:space="preserve">Play app signing (what users present)</w:t>
            </w:r>
          </w:p>
        </w:tc>
        <w:tc>
          <w:tcPr>
            <w:tcW w:type="dxa" w:w="4680"/>
            <w:tcMar>
              <w:top w:type="dxa" w:w="60"/>
              <w:left w:type="dxa" w:w="90"/>
              <w:bottom w:type="dxa" w:w="60"/>
              <w:right w:type="dxa" w:w="90"/>
            </w:tcMar>
          </w:tcPr>
          <w:p>
            <w:r>
              <w:rPr>
                <w:b w:val="false"/>
                <w:bCs w:val="false"/>
                <w:color w:val="1A1A17"/>
                <w:sz w:val="19"/>
                <w:szCs w:val="19"/>
              </w:rPr>
              <w:t xml:space="preserve">B7:D1:DE:10:DD:F3:5E:FD:56:27:99:FA:F6:C4:D1:D0:38:B4:5C:C5</w:t>
            </w:r>
          </w:p>
        </w:tc>
      </w:tr>
      <w:tr>
        <w:tc>
          <w:tcPr>
            <w:tcW w:type="dxa" w:w="4680"/>
            <w:tcMar>
              <w:top w:type="dxa" w:w="60"/>
              <w:left w:type="dxa" w:w="90"/>
              <w:bottom w:type="dxa" w:w="60"/>
              <w:right w:type="dxa" w:w="90"/>
            </w:tcMar>
          </w:tcPr>
          <w:p>
            <w:r>
              <w:rPr>
                <w:b w:val="false"/>
                <w:bCs w:val="false"/>
                <w:color w:val="1A1A17"/>
                <w:sz w:val="19"/>
                <w:szCs w:val="19"/>
              </w:rPr>
              <w:t xml:space="preserve">Upload key</w:t>
            </w:r>
          </w:p>
        </w:tc>
        <w:tc>
          <w:tcPr>
            <w:tcW w:type="dxa" w:w="4680"/>
            <w:tcMar>
              <w:top w:type="dxa" w:w="60"/>
              <w:left w:type="dxa" w:w="90"/>
              <w:bottom w:type="dxa" w:w="60"/>
              <w:right w:type="dxa" w:w="90"/>
            </w:tcMar>
          </w:tcPr>
          <w:p>
            <w:r>
              <w:rPr>
                <w:b w:val="false"/>
                <w:bCs w:val="false"/>
                <w:color w:val="1A1A17"/>
                <w:sz w:val="19"/>
                <w:szCs w:val="19"/>
              </w:rPr>
              <w:t xml:space="preserve">77:D9:C2:35:B4:EB:2D:47:8E:89:DB:27:41:A8:D7:E2:06:9A:40:81</w:t>
            </w:r>
          </w:p>
        </w:tc>
      </w:tr>
      <w:tr>
        <w:tc>
          <w:tcPr>
            <w:tcW w:type="dxa" w:w="4680"/>
            <w:tcMar>
              <w:top w:type="dxa" w:w="60"/>
              <w:left w:type="dxa" w:w="90"/>
              <w:bottom w:type="dxa" w:w="60"/>
              <w:right w:type="dxa" w:w="90"/>
            </w:tcMar>
          </w:tcPr>
          <w:p>
            <w:r>
              <w:rPr>
                <w:b w:val="false"/>
                <w:bCs w:val="false"/>
                <w:color w:val="1A1A17"/>
                <w:sz w:val="19"/>
                <w:szCs w:val="19"/>
              </w:rPr>
              <w:t xml:space="preserve">Debug</w:t>
            </w:r>
          </w:p>
        </w:tc>
        <w:tc>
          <w:tcPr>
            <w:tcW w:type="dxa" w:w="4680"/>
            <w:tcMar>
              <w:top w:type="dxa" w:w="60"/>
              <w:left w:type="dxa" w:w="90"/>
              <w:bottom w:type="dxa" w:w="60"/>
              <w:right w:type="dxa" w:w="90"/>
            </w:tcMar>
          </w:tcPr>
          <w:p>
            <w:r>
              <w:rPr>
                <w:b w:val="false"/>
                <w:bCs w:val="false"/>
                <w:color w:val="1A1A17"/>
                <w:sz w:val="19"/>
                <w:szCs w:val="19"/>
              </w:rPr>
              <w:t xml:space="preserve">D3:46:B8:A4:61:5B:85:6A:4F:AF:5B:F2:64:D2:01:47:2B:F2:31:E1</w:t>
            </w:r>
          </w:p>
        </w:tc>
      </w:tr>
    </w:tbl>
    <w:p>
      <w:pPr>
        <w:spacing w:after="120"/>
      </w:pPr>
      <w:r>
        <w:rPr>
          <w:i w:val="false"/>
          <w:iCs w:val="false"/>
          <w:color w:val="1A1A17"/>
          <w:sz w:val="21"/>
          <w:szCs w:val="21"/>
        </w:rPr>
        <w:t xml:space="preserve">Play app signing SHA-256, used for App Check and Play Integrity: 0A:5D:A6:36:17:4B:F6:4A:88:0D:64:1A:89:2C:C6:0C:B6:B9:8F:BF:51:4A:CD:41:82:32:06:E8:D5:D8:4B:6A</w:t>
      </w:r>
    </w:p>
    <w:p>
      <w:pPr>
        <w:spacing w:after="120"/>
      </w:pPr>
      <w:r>
        <w:rPr>
          <w:i w:val="false"/>
          <w:iCs w:val="false"/>
          <w:color w:val="1A1A17"/>
          <w:sz w:val="21"/>
          <w:szCs w:val="21"/>
        </w:rPr>
        <w:t xml:space="preserve">All of these are registered on com.aistudio.astroveda.kpvqzm. Adding a fingerprint takes effect server-side; it does not need a new release. Release signing uses upload-keystore.jks with alias upload. The older astroveda-upload-key.jks is dead — Play no longer accepts it — and KEYSTORE_PATH in .env must point at the live one.</w:t>
      </w:r>
    </w:p>
    <w:p>
      <w:pPr>
        <w:pStyle w:val="Heading1"/>
        <w:spacing w:after="160" w:before="360"/>
      </w:pPr>
      <w:r>
        <w:rPr>
          <w:b/>
          <w:bCs/>
          <w:color w:val="B08A2E"/>
          <w:sz w:val="30"/>
          <w:szCs w:val="30"/>
        </w:rPr>
        <w:t xml:space="preserve">5. 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EEE2" w:color="auto" w:val="clear"/>
            <w:tcMar>
              <w:top w:type="dxa" w:w="60"/>
              <w:left w:type="dxa" w:w="90"/>
              <w:bottom w:type="dxa" w:w="60"/>
              <w:right w:type="dxa" w:w="90"/>
            </w:tcMar>
          </w:tcPr>
          <w:p>
            <w:r>
              <w:rPr>
                <w:b/>
                <w:bCs/>
                <w:color w:val="B08A2E"/>
                <w:sz w:val="19"/>
                <w:szCs w:val="19"/>
              </w:rPr>
              <w:t xml:space="preserve">Gap</w:t>
            </w:r>
          </w:p>
        </w:tc>
        <w:tc>
          <w:tcPr>
            <w:tcW w:type="dxa" w:w="3120"/>
            <w:shd w:fill="F2EEE2" w:color="auto" w:val="clear"/>
            <w:tcMar>
              <w:top w:type="dxa" w:w="60"/>
              <w:left w:type="dxa" w:w="90"/>
              <w:bottom w:type="dxa" w:w="60"/>
              <w:right w:type="dxa" w:w="90"/>
            </w:tcMar>
          </w:tcPr>
          <w:p>
            <w:r>
              <w:rPr>
                <w:b/>
                <w:bCs/>
                <w:color w:val="B08A2E"/>
                <w:sz w:val="19"/>
                <w:szCs w:val="19"/>
              </w:rPr>
              <w:t xml:space="preserve">Exposure now</w:t>
            </w:r>
          </w:p>
        </w:tc>
        <w:tc>
          <w:tcPr>
            <w:tcW w:type="dxa" w:w="3120"/>
            <w:shd w:fill="F2EEE2" w:color="auto" w:val="clear"/>
            <w:tcMar>
              <w:top w:type="dxa" w:w="60"/>
              <w:left w:type="dxa" w:w="90"/>
              <w:bottom w:type="dxa" w:w="60"/>
              <w:right w:type="dxa" w:w="90"/>
            </w:tcMar>
          </w:tcPr>
          <w:p>
            <w:r>
              <w:rPr>
                <w:b/>
                <w:bCs/>
                <w:color w:val="B08A2E"/>
                <w:sz w:val="19"/>
                <w:szCs w:val="19"/>
              </w:rPr>
              <w:t xml:space="preserve">Fix</w:t>
            </w:r>
          </w:p>
        </w:tc>
      </w:tr>
      <w:tr>
        <w:tc>
          <w:tcPr>
            <w:tcW w:type="dxa" w:w="3120"/>
            <w:tcMar>
              <w:top w:type="dxa" w:w="60"/>
              <w:left w:type="dxa" w:w="90"/>
              <w:bottom w:type="dxa" w:w="60"/>
              <w:right w:type="dxa" w:w="90"/>
            </w:tcMar>
          </w:tcPr>
          <w:p>
            <w:r>
              <w:rPr>
                <w:b w:val="false"/>
                <w:bCs w:val="false"/>
                <w:color w:val="1A1A17"/>
                <w:sz w:val="19"/>
                <w:szCs w:val="19"/>
              </w:rPr>
              <w:t xml:space="preserve">Purchase verification is client-side only</w:t>
            </w:r>
          </w:p>
        </w:tc>
        <w:tc>
          <w:tcPr>
            <w:tcW w:type="dxa" w:w="3120"/>
            <w:tcMar>
              <w:top w:type="dxa" w:w="60"/>
              <w:left w:type="dxa" w:w="90"/>
              <w:bottom w:type="dxa" w:w="60"/>
              <w:right w:type="dxa" w:w="90"/>
            </w:tcMar>
          </w:tcPr>
          <w:p>
            <w:r>
              <w:rPr>
                <w:b w:val="false"/>
                <w:bCs w:val="false"/>
                <w:color w:val="1A1A17"/>
                <w:sz w:val="19"/>
                <w:szCs w:val="19"/>
              </w:rPr>
              <w:t xml:space="preserve">None while nothing is purchasable</w:t>
            </w:r>
          </w:p>
        </w:tc>
        <w:tc>
          <w:tcPr>
            <w:tcW w:type="dxa" w:w="3120"/>
            <w:tcMar>
              <w:top w:type="dxa" w:w="60"/>
              <w:left w:type="dxa" w:w="90"/>
              <w:bottom w:type="dxa" w:w="60"/>
              <w:right w:type="dxa" w:w="90"/>
            </w:tcMar>
          </w:tcPr>
          <w:p>
            <w:r>
              <w:rPr>
                <w:b w:val="false"/>
                <w:bCs w:val="false"/>
                <w:color w:val="1A1A17"/>
                <w:sz w:val="19"/>
                <w:szCs w:val="19"/>
              </w:rPr>
              <w:t xml:space="preserve">A server checking tokens against the Play Developer API. Do it in the same pass as the licence key.</w:t>
            </w:r>
          </w:p>
        </w:tc>
      </w:tr>
      <w:tr>
        <w:tc>
          <w:tcPr>
            <w:tcW w:type="dxa" w:w="3120"/>
            <w:tcMar>
              <w:top w:type="dxa" w:w="60"/>
              <w:left w:type="dxa" w:w="90"/>
              <w:bottom w:type="dxa" w:w="60"/>
              <w:right w:type="dxa" w:w="90"/>
            </w:tcMar>
          </w:tcPr>
          <w:p>
            <w:r>
              <w:rPr>
                <w:b w:val="false"/>
                <w:bCs w:val="false"/>
                <w:color w:val="1A1A17"/>
                <w:sz w:val="19"/>
                <w:szCs w:val="19"/>
              </w:rPr>
              <w:t xml:space="preserve">PLAY_LICENSE_KEY is unset</w:t>
            </w:r>
          </w:p>
        </w:tc>
        <w:tc>
          <w:tcPr>
            <w:tcW w:type="dxa" w:w="3120"/>
            <w:tcMar>
              <w:top w:type="dxa" w:w="60"/>
              <w:left w:type="dxa" w:w="90"/>
              <w:bottom w:type="dxa" w:w="60"/>
              <w:right w:type="dxa" w:w="90"/>
            </w:tcMar>
          </w:tcPr>
          <w:p>
            <w:r>
              <w:rPr>
                <w:b w:val="false"/>
                <w:bCs w:val="false"/>
                <w:color w:val="1A1A17"/>
                <w:sz w:val="19"/>
                <w:szCs w:val="19"/>
              </w:rPr>
              <w:t xml:space="preserve">None while nothing is purchasable</w:t>
            </w:r>
          </w:p>
        </w:tc>
        <w:tc>
          <w:tcPr>
            <w:tcW w:type="dxa" w:w="3120"/>
            <w:tcMar>
              <w:top w:type="dxa" w:w="60"/>
              <w:left w:type="dxa" w:w="90"/>
              <w:bottom w:type="dxa" w:w="60"/>
              <w:right w:type="dxa" w:w="90"/>
            </w:tcMar>
          </w:tcPr>
          <w:p>
            <w:r>
              <w:rPr>
                <w:b w:val="false"/>
                <w:bCs w:val="false"/>
                <w:color w:val="1A1A17"/>
                <w:sz w:val="19"/>
                <w:szCs w:val="19"/>
              </w:rPr>
              <w:t xml:space="preserve">Play Console → Monetise → Monetisation setup → Licensing, after the merchant account exists</w:t>
            </w:r>
          </w:p>
        </w:tc>
      </w:tr>
      <w:tr>
        <w:tc>
          <w:tcPr>
            <w:tcW w:type="dxa" w:w="3120"/>
            <w:tcMar>
              <w:top w:type="dxa" w:w="60"/>
              <w:left w:type="dxa" w:w="90"/>
              <w:bottom w:type="dxa" w:w="60"/>
              <w:right w:type="dxa" w:w="90"/>
            </w:tcMar>
          </w:tcPr>
          <w:p>
            <w:r>
              <w:rPr>
                <w:b w:val="false"/>
                <w:bCs w:val="false"/>
                <w:color w:val="1A1A17"/>
                <w:sz w:val="19"/>
                <w:szCs w:val="19"/>
              </w:rPr>
              <w:t xml:space="preserve">Room database is not encrypted</w:t>
            </w:r>
          </w:p>
        </w:tc>
        <w:tc>
          <w:tcPr>
            <w:tcW w:type="dxa" w:w="3120"/>
            <w:tcMar>
              <w:top w:type="dxa" w:w="60"/>
              <w:left w:type="dxa" w:w="90"/>
              <w:bottom w:type="dxa" w:w="60"/>
              <w:right w:type="dxa" w:w="90"/>
            </w:tcMar>
          </w:tcPr>
          <w:p>
            <w:r>
              <w:rPr>
                <w:b w:val="false"/>
                <w:bCs w:val="false"/>
                <w:color w:val="1A1A17"/>
                <w:sz w:val="19"/>
                <w:szCs w:val="19"/>
              </w:rPr>
              <w:t xml:space="preserve">Requires physical or root access</w:t>
            </w:r>
          </w:p>
        </w:tc>
        <w:tc>
          <w:tcPr>
            <w:tcW w:type="dxa" w:w="3120"/>
            <w:tcMar>
              <w:top w:type="dxa" w:w="60"/>
              <w:left w:type="dxa" w:w="90"/>
              <w:bottom w:type="dxa" w:w="60"/>
              <w:right w:type="dxa" w:w="90"/>
            </w:tcMar>
          </w:tcPr>
          <w:p>
            <w:r>
              <w:rPr>
                <w:b w:val="false"/>
                <w:bCs w:val="false"/>
                <w:color w:val="1A1A17"/>
                <w:sz w:val="19"/>
                <w:szCs w:val="19"/>
              </w:rPr>
              <w:t xml:space="preserve">SQLCipher, if the risk is ever judged worth the migration</w:t>
            </w:r>
          </w:p>
        </w:tc>
      </w:tr>
      <w:tr>
        <w:tc>
          <w:tcPr>
            <w:tcW w:type="dxa" w:w="3120"/>
            <w:tcMar>
              <w:top w:type="dxa" w:w="60"/>
              <w:left w:type="dxa" w:w="90"/>
              <w:bottom w:type="dxa" w:w="60"/>
              <w:right w:type="dxa" w:w="90"/>
            </w:tcMar>
          </w:tcPr>
          <w:p>
            <w:r>
              <w:rPr>
                <w:b w:val="false"/>
                <w:bCs w:val="false"/>
                <w:color w:val="1A1A17"/>
                <w:sz w:val="19"/>
                <w:szCs w:val="19"/>
              </w:rPr>
              <w:t xml:space="preserve">No automated dependency scanning</w:t>
            </w:r>
          </w:p>
        </w:tc>
        <w:tc>
          <w:tcPr>
            <w:tcW w:type="dxa" w:w="3120"/>
            <w:tcMar>
              <w:top w:type="dxa" w:w="60"/>
              <w:left w:type="dxa" w:w="90"/>
              <w:bottom w:type="dxa" w:w="60"/>
              <w:right w:type="dxa" w:w="90"/>
            </w:tcMar>
          </w:tcPr>
          <w:p>
            <w:r>
              <w:rPr>
                <w:b w:val="false"/>
                <w:bCs w:val="false"/>
                <w:color w:val="1A1A17"/>
                <w:sz w:val="19"/>
                <w:szCs w:val="19"/>
              </w:rPr>
              <w:t xml:space="preserve">Unknown CVEs in transitive deps</w:t>
            </w:r>
          </w:p>
        </w:tc>
        <w:tc>
          <w:tcPr>
            <w:tcW w:type="dxa" w:w="3120"/>
            <w:tcMar>
              <w:top w:type="dxa" w:w="60"/>
              <w:left w:type="dxa" w:w="90"/>
              <w:bottom w:type="dxa" w:w="60"/>
              <w:right w:type="dxa" w:w="90"/>
            </w:tcMar>
          </w:tcPr>
          <w:p>
            <w:r>
              <w:rPr>
                <w:b w:val="false"/>
                <w:bCs w:val="false"/>
                <w:color w:val="1A1A17"/>
                <w:sz w:val="19"/>
                <w:szCs w:val="19"/>
              </w:rPr>
              <w:t xml:space="preserve">Dependabot or gradle-versions + OSV</w:t>
            </w:r>
          </w:p>
        </w:tc>
      </w:tr>
    </w:tbl>
    <w:p>
      <w:pPr>
        <w:pBdr>
          <w:left w:val="single" w:color="B08A2E" w:sz="18" w:space="12"/>
        </w:pBdr>
        <w:spacing w:after="160" w:before="120"/>
      </w:pPr>
      <w:r>
        <w:rPr>
          <w:i/>
          <w:iCs/>
          <w:color w:val="5A5A52"/>
          <w:sz w:val="20"/>
          <w:szCs w:val="20"/>
        </w:rPr>
        <w:t xml:space="preserve">PurchaseVerifier returns true when no licence key is configured, and logs a warning. Refusing every purchase would be worse than the exposure, and nothing is purchasable until the merchant account exists — but this must be revisited in the same change that configures the key.</w:t>
      </w:r>
    </w:p>
    <w:p>
      <w:pPr>
        <w:pStyle w:val="Heading1"/>
        <w:spacing w:after="160" w:before="360"/>
      </w:pPr>
      <w:r>
        <w:rPr>
          <w:b/>
          <w:bCs/>
          <w:color w:val="B08A2E"/>
          <w:sz w:val="30"/>
          <w:szCs w:val="30"/>
        </w:rPr>
        <w:t xml:space="preserve">6. Owner responsibilities (console only)</w:t>
      </w:r>
    </w:p>
    <w:p>
      <w:pPr>
        <w:pStyle w:val="Heading2"/>
        <w:spacing w:after="120" w:before="260"/>
      </w:pPr>
      <w:r>
        <w:rPr>
          <w:b/>
          <w:bCs/>
          <w:color w:val="1A1A17"/>
          <w:sz w:val="24"/>
          <w:szCs w:val="24"/>
        </w:rPr>
        <w:t xml:space="preserve">6.1 Firestore security rules</w:t>
      </w:r>
    </w:p>
    <w:p>
      <w:pPr>
        <w:spacing w:after="120"/>
      </w:pPr>
      <w:r>
        <w:rPr>
          <w:i w:val="false"/>
          <w:iCs w:val="false"/>
          <w:color w:val="1A1A17"/>
          <w:sz w:val="21"/>
          <w:szCs w:val="21"/>
        </w:rPr>
        <w:t xml:space="preserve">The client writes only under users/{uid}/kundali_profiles. That scoping is worth nothing unless the server rules enforce it. The rules must require request.auth != null and request.auth.uid == uid for both read and write, and they are not in this repository. They should be reviewed in the Firebase console and, ideally, committed alongside the code.</w:t>
      </w:r>
    </w:p>
    <w:p>
      <w:pPr>
        <w:pStyle w:val="Heading2"/>
        <w:spacing w:after="120" w:before="260"/>
      </w:pPr>
      <w:r>
        <w:rPr>
          <w:b/>
          <w:bCs/>
          <w:color w:val="1A1A17"/>
          <w:sz w:val="24"/>
          <w:szCs w:val="24"/>
        </w:rPr>
        <w:t xml:space="preserve">6.2 Other</w:t>
      </w:r>
    </w:p>
    <w:p>
      <w:pPr>
        <w:pStyle w:val="ListParagraph"/>
        <w:numPr>
          <w:ilvl w:val="0"/>
          <w:numId w:val="1"/>
        </w:numPr>
        <w:spacing w:after="80"/>
      </w:pPr>
      <w:r>
        <w:rPr>
          <w:color w:val="1A1A17"/>
          <w:sz w:val="21"/>
          <w:szCs w:val="21"/>
        </w:rPr>
        <w:t xml:space="preserve">Keep the four SHA fingerprints registered on the Firebase Android app.</w:t>
      </w:r>
    </w:p>
    <w:p>
      <w:pPr>
        <w:pStyle w:val="ListParagraph"/>
        <w:numPr>
          <w:ilvl w:val="0"/>
          <w:numId w:val="1"/>
        </w:numPr>
        <w:spacing w:after="80"/>
      </w:pPr>
      <w:r>
        <w:rPr>
          <w:color w:val="1A1A17"/>
          <w:sz w:val="21"/>
          <w:szCs w:val="21"/>
        </w:rPr>
        <w:t xml:space="preserve">Keep .env and the .jks files off any shared drive, chat or repository.</w:t>
      </w:r>
    </w:p>
    <w:p>
      <w:pPr>
        <w:pStyle w:val="ListParagraph"/>
        <w:numPr>
          <w:ilvl w:val="0"/>
          <w:numId w:val="1"/>
        </w:numPr>
        <w:spacing w:after="80"/>
      </w:pPr>
      <w:r>
        <w:rPr>
          <w:color w:val="1A1A17"/>
          <w:sz w:val="21"/>
          <w:szCs w:val="21"/>
        </w:rPr>
        <w:t xml:space="preserve">Play Console → App content: data safety answers must match what the app actually collects.</w:t>
      </w:r>
    </w:p>
    <w:p>
      <w:pPr>
        <w:pStyle w:val="Heading1"/>
        <w:spacing w:after="160" w:before="360"/>
      </w:pPr>
      <w:r>
        <w:rPr>
          <w:b/>
          <w:bCs/>
          <w:color w:val="B08A2E"/>
          <w:sz w:val="30"/>
          <w:szCs w:val="30"/>
        </w:rPr>
        <w:t xml:space="preserve">7. Privacy summary</w:t>
      </w:r>
    </w:p>
    <w:p>
      <w:pPr>
        <w:spacing w:after="120"/>
      </w:pPr>
      <w:r>
        <w:rPr>
          <w:i w:val="false"/>
          <w:iCs w:val="false"/>
          <w:color w:val="1A1A17"/>
          <w:sz w:val="21"/>
          <w:szCs w:val="21"/>
        </w:rPr>
        <w:t xml:space="preserve">Birth details are stored locally in Room. They leave the device only when a signed-in user explicitly backs up to Firestore, and only into that user's own subtree. Questions typed into the numerology question box are sent to Firebase AI Logic to be answered. Analytics and Crashlytics collect diagnostics. Advertising identifiers are used by AdMob subject to UMP consent. Account and all data can be deleted from Settings; docs/ACCOUNT_DELETION.md describes the route for users who have uninstalled.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2026-09-03T01:00:29.718Z</dcterms:created>
  <dcterms:modified xsi:type="dcterms:W3CDTF">2026-09-03T01:00:29.720Z</dcterms:modified>
</cp:coreProperties>
</file>

<file path=docProps/custom.xml><?xml version="1.0" encoding="utf-8"?>
<Properties xmlns="http://schemas.openxmlformats.org/officeDocument/2006/custom-properties" xmlns:vt="http://schemas.openxmlformats.org/officeDocument/2006/docPropsVTypes"/>
</file>