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2E"/>
          <w:sz w:val="48"/>
          <w:szCs w:val="48"/>
        </w:rPr>
        <w:t xml:space="preserve">04</w:t>
      </w:r>
    </w:p>
    <w:p>
      <w:pPr>
        <w:spacing w:after="40"/>
      </w:pPr>
      <w:r>
        <w:rPr>
          <w:b/>
          <w:bCs/>
          <w:color w:val="1A1A17"/>
          <w:sz w:val="40"/>
          <w:szCs w:val="40"/>
        </w:rPr>
        <w:t xml:space="preserve">Frontend Specification Document</w:t>
      </w:r>
    </w:p>
    <w:p>
      <w:pPr>
        <w:pBdr>
          <w:bottom w:val="single" w:color="B08A2E" w:sz="8" w:space="6"/>
        </w:pBdr>
        <w:spacing w:after="240"/>
      </w:pPr>
      <w:r>
        <w:rPr>
          <w:color w:val="5A5A52"/>
          <w:sz w:val="22"/>
          <w:szCs w:val="22"/>
        </w:rPr>
        <w:t xml:space="preserve">FSD — the design system and the screens as built</w:t>
      </w:r>
    </w:p>
    <w:p>
      <w:pPr>
        <w:spacing w:after="80"/>
      </w:pPr>
      <w:r>
        <w:rPr>
          <w:b/>
          <w:bCs/>
          <w:color w:val="1A1A17"/>
          <w:sz w:val="21"/>
          <w:szCs w:val="21"/>
        </w:rPr>
        <w:t xml:space="preserve">Revati — Kundli &amp; Panchang  ·  Android (Kotlin, Jetpack Compose)</w:t>
      </w:r>
    </w:p>
    <w:p>
      <w:pPr>
        <w:spacing w:after="320"/>
      </w:pPr>
      <w:r>
        <w:rPr>
          <w:color w:val="5A5A52"/>
          <w:sz w:val="20"/>
          <w:szCs w:val="20"/>
        </w:rPr>
        <w:t xml:space="preserve">Version 2.0  |  September 2026  |  Sunil Kumar Saini (Msunjay Enterprises)</w:t>
      </w:r>
    </w:p>
    <w:p>
      <w:pPr>
        <w:pBdr>
          <w:left w:val="single" w:color="B08A2E" w:sz="18" w:space="12"/>
        </w:pBdr>
        <w:spacing w:after="160" w:before="120"/>
      </w:pPr>
      <w:r>
        <w:rPr>
          <w:i/>
          <w:iCs/>
          <w:color w:val="5A5A52"/>
          <w:sz w:val="20"/>
          <w:szCs w:val="20"/>
        </w:rPr>
        <w:t xml:space="preserve">Version 1.0 of this document (July 2026) described a React Native + Expo + Supabase application. That app was never built. Revati shipped as a native Android app in Kotlin and Jetpack Compose, with Firebase in place of Supabase and an on-device ephemeris in place of a server. This revision replaces that document in full and describes only what is in the shipped code.</w:t>
      </w:r>
    </w:p>
    <w:p>
      <w:pPr>
        <w:pStyle w:val="Heading1"/>
        <w:spacing w:after="160" w:before="360"/>
      </w:pPr>
      <w:r>
        <w:rPr>
          <w:b/>
          <w:bCs/>
          <w:color w:val="B08A2E"/>
          <w:sz w:val="30"/>
          <w:szCs w:val="30"/>
        </w:rPr>
        <w:t xml:space="preserve">1. Design philosophy</w:t>
      </w:r>
    </w:p>
    <w:p>
      <w:pPr>
        <w:spacing w:after="120"/>
      </w:pPr>
      <w:r>
        <w:rPr>
          <w:i w:val="false"/>
          <w:iCs w:val="false"/>
          <w:color w:val="1A1A17"/>
          <w:sz w:val="21"/>
          <w:szCs w:val="21"/>
        </w:rPr>
        <w:t xml:space="preserve">A night-sky ground, gold as the single accent, and generous line height for Devanagari. The app should read like a well-set almanac, not a dashboard. Panels are quiet; the numbers are the loud part.</w:t>
      </w:r>
    </w:p>
    <w:p>
      <w:pPr>
        <w:pBdr>
          <w:left w:val="single" w:color="B08A2E" w:sz="18" w:space="12"/>
        </w:pBdr>
        <w:spacing w:after="160" w:before="120"/>
      </w:pPr>
      <w:r>
        <w:rPr>
          <w:i/>
          <w:iCs/>
          <w:color w:val="5A5A52"/>
          <w:sz w:val="20"/>
          <w:szCs w:val="20"/>
        </w:rPr>
        <w:t xml:space="preserve">Version 1.0 of this document said "Dark mode is the ONLY mode. No light mode exists." That is no longer true and has not been for some time. Both themes are real, they follow the system, and every screen is checked in both.</w:t>
      </w:r>
    </w:p>
    <w:p>
      <w:pPr>
        <w:pStyle w:val="Heading1"/>
        <w:spacing w:after="160" w:before="360"/>
      </w:pPr>
      <w:r>
        <w:rPr>
          <w:b/>
          <w:bCs/>
          <w:color w:val="B08A2E"/>
          <w:sz w:val="30"/>
          <w:szCs w:val="30"/>
        </w:rPr>
        <w:t xml:space="preserve">2. Colour</w:t>
      </w:r>
    </w:p>
    <w:p>
      <w:pPr>
        <w:spacing w:after="120"/>
      </w:pPr>
      <w:r>
        <w:rPr>
          <w:i w:val="false"/>
          <w:iCs w:val="false"/>
          <w:color w:val="1A1A17"/>
          <w:sz w:val="21"/>
          <w:szCs w:val="21"/>
        </w:rPr>
        <w:t xml:space="preserve">Colours come from LocalAstroColors, never from hardcoded values. Two complete palettes are defined in Color.kt and selected by astroPalette(isLight).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F2EEE2" w:color="auto" w:val="clear"/>
            <w:tcMar>
              <w:top w:type="dxa" w:w="60"/>
              <w:left w:type="dxa" w:w="90"/>
              <w:bottom w:type="dxa" w:w="60"/>
              <w:right w:type="dxa" w:w="90"/>
            </w:tcMar>
          </w:tcPr>
          <w:p>
            <w:r>
              <w:rPr>
                <w:b/>
                <w:bCs/>
                <w:color w:val="B08A2E"/>
                <w:sz w:val="19"/>
                <w:szCs w:val="19"/>
              </w:rPr>
              <w:t xml:space="preserve">Token</w:t>
            </w:r>
          </w:p>
        </w:tc>
        <w:tc>
          <w:tcPr>
            <w:tcW w:type="dxa" w:w="2340"/>
            <w:shd w:fill="F2EEE2" w:color="auto" w:val="clear"/>
            <w:tcMar>
              <w:top w:type="dxa" w:w="60"/>
              <w:left w:type="dxa" w:w="90"/>
              <w:bottom w:type="dxa" w:w="60"/>
              <w:right w:type="dxa" w:w="90"/>
            </w:tcMar>
          </w:tcPr>
          <w:p>
            <w:r>
              <w:rPr>
                <w:b/>
                <w:bCs/>
                <w:color w:val="B08A2E"/>
                <w:sz w:val="19"/>
                <w:szCs w:val="19"/>
              </w:rPr>
              <w:t xml:space="preserve">Dark</w:t>
            </w:r>
          </w:p>
        </w:tc>
        <w:tc>
          <w:tcPr>
            <w:tcW w:type="dxa" w:w="2340"/>
            <w:shd w:fill="F2EEE2" w:color="auto" w:val="clear"/>
            <w:tcMar>
              <w:top w:type="dxa" w:w="60"/>
              <w:left w:type="dxa" w:w="90"/>
              <w:bottom w:type="dxa" w:w="60"/>
              <w:right w:type="dxa" w:w="90"/>
            </w:tcMar>
          </w:tcPr>
          <w:p>
            <w:r>
              <w:rPr>
                <w:b/>
                <w:bCs/>
                <w:color w:val="B08A2E"/>
                <w:sz w:val="19"/>
                <w:szCs w:val="19"/>
              </w:rPr>
              <w:t xml:space="preserve">Light</w:t>
            </w:r>
          </w:p>
        </w:tc>
        <w:tc>
          <w:tcPr>
            <w:tcW w:type="dxa" w:w="2340"/>
            <w:shd w:fill="F2EEE2" w:color="auto" w:val="clear"/>
            <w:tcMar>
              <w:top w:type="dxa" w:w="60"/>
              <w:left w:type="dxa" w:w="90"/>
              <w:bottom w:type="dxa" w:w="60"/>
              <w:right w:type="dxa" w:w="90"/>
            </w:tcMar>
          </w:tcPr>
          <w:p>
            <w:r>
              <w:rPr>
                <w:b/>
                <w:bCs/>
                <w:color w:val="B08A2E"/>
                <w:sz w:val="19"/>
                <w:szCs w:val="19"/>
              </w:rPr>
              <w:t xml:space="preserve">Use</w:t>
            </w:r>
          </w:p>
        </w:tc>
      </w:tr>
      <w:tr>
        <w:tc>
          <w:tcPr>
            <w:tcW w:type="dxa" w:w="2340"/>
            <w:tcMar>
              <w:top w:type="dxa" w:w="60"/>
              <w:left w:type="dxa" w:w="90"/>
              <w:bottom w:type="dxa" w:w="60"/>
              <w:right w:type="dxa" w:w="90"/>
            </w:tcMar>
          </w:tcPr>
          <w:p>
            <w:r>
              <w:rPr>
                <w:b w:val="false"/>
                <w:bCs w:val="false"/>
                <w:color w:val="1A1A17"/>
                <w:sz w:val="19"/>
                <w:szCs w:val="19"/>
              </w:rPr>
              <w:t xml:space="preserve">appBackground</w:t>
            </w:r>
          </w:p>
        </w:tc>
        <w:tc>
          <w:tcPr>
            <w:tcW w:type="dxa" w:w="2340"/>
            <w:tcMar>
              <w:top w:type="dxa" w:w="60"/>
              <w:left w:type="dxa" w:w="90"/>
              <w:bottom w:type="dxa" w:w="60"/>
              <w:right w:type="dxa" w:w="90"/>
            </w:tcMar>
          </w:tcPr>
          <w:p>
            <w:r>
              <w:rPr>
                <w:b w:val="false"/>
                <w:bCs w:val="false"/>
                <w:color w:val="1A1A17"/>
                <w:sz w:val="19"/>
                <w:szCs w:val="19"/>
              </w:rPr>
              <w:t xml:space="preserve">#0B0E1A</w:t>
            </w:r>
          </w:p>
        </w:tc>
        <w:tc>
          <w:tcPr>
            <w:tcW w:type="dxa" w:w="2340"/>
            <w:tcMar>
              <w:top w:type="dxa" w:w="60"/>
              <w:left w:type="dxa" w:w="90"/>
              <w:bottom w:type="dxa" w:w="60"/>
              <w:right w:type="dxa" w:w="90"/>
            </w:tcMar>
          </w:tcPr>
          <w:p>
            <w:r>
              <w:rPr>
                <w:b w:val="false"/>
                <w:bCs w:val="false"/>
                <w:color w:val="1A1A17"/>
                <w:sz w:val="19"/>
                <w:szCs w:val="19"/>
              </w:rPr>
              <w:t xml:space="preserve">#FBFAF7</w:t>
            </w:r>
          </w:p>
        </w:tc>
        <w:tc>
          <w:tcPr>
            <w:tcW w:type="dxa" w:w="2340"/>
            <w:tcMar>
              <w:top w:type="dxa" w:w="60"/>
              <w:left w:type="dxa" w:w="90"/>
              <w:bottom w:type="dxa" w:w="60"/>
              <w:right w:type="dxa" w:w="90"/>
            </w:tcMar>
          </w:tcPr>
          <w:p>
            <w:r>
              <w:rPr>
                <w:b w:val="false"/>
                <w:bCs w:val="false"/>
                <w:color w:val="1A1A17"/>
                <w:sz w:val="19"/>
                <w:szCs w:val="19"/>
              </w:rPr>
              <w:t xml:space="preserve">Window ground</w:t>
            </w:r>
          </w:p>
        </w:tc>
      </w:tr>
      <w:tr>
        <w:tc>
          <w:tcPr>
            <w:tcW w:type="dxa" w:w="2340"/>
            <w:tcMar>
              <w:top w:type="dxa" w:w="60"/>
              <w:left w:type="dxa" w:w="90"/>
              <w:bottom w:type="dxa" w:w="60"/>
              <w:right w:type="dxa" w:w="90"/>
            </w:tcMar>
          </w:tcPr>
          <w:p>
            <w:r>
              <w:rPr>
                <w:b w:val="false"/>
                <w:bCs w:val="false"/>
                <w:color w:val="1A1A17"/>
                <w:sz w:val="19"/>
                <w:szCs w:val="19"/>
              </w:rPr>
              <w:t xml:space="preserve">surfaceBackground</w:t>
            </w:r>
          </w:p>
        </w:tc>
        <w:tc>
          <w:tcPr>
            <w:tcW w:type="dxa" w:w="2340"/>
            <w:tcMar>
              <w:top w:type="dxa" w:w="60"/>
              <w:left w:type="dxa" w:w="90"/>
              <w:bottom w:type="dxa" w:w="60"/>
              <w:right w:type="dxa" w:w="90"/>
            </w:tcMar>
          </w:tcPr>
          <w:p>
            <w:r>
              <w:rPr>
                <w:b w:val="false"/>
                <w:bCs w:val="false"/>
                <w:color w:val="1A1A17"/>
                <w:sz w:val="19"/>
                <w:szCs w:val="19"/>
              </w:rPr>
              <w:t xml:space="preserve">#131728</w:t>
            </w:r>
          </w:p>
        </w:tc>
        <w:tc>
          <w:tcPr>
            <w:tcW w:type="dxa" w:w="2340"/>
            <w:tcMar>
              <w:top w:type="dxa" w:w="60"/>
              <w:left w:type="dxa" w:w="90"/>
              <w:bottom w:type="dxa" w:w="60"/>
              <w:right w:type="dxa" w:w="90"/>
            </w:tcMar>
          </w:tcPr>
          <w:p>
            <w:r>
              <w:rPr>
                <w:b w:val="false"/>
                <w:bCs w:val="false"/>
                <w:color w:val="1A1A17"/>
                <w:sz w:val="19"/>
                <w:szCs w:val="19"/>
              </w:rPr>
              <w:t xml:space="preserve">#FFFFFF</w:t>
            </w:r>
          </w:p>
        </w:tc>
        <w:tc>
          <w:tcPr>
            <w:tcW w:type="dxa" w:w="2340"/>
            <w:tcMar>
              <w:top w:type="dxa" w:w="60"/>
              <w:left w:type="dxa" w:w="90"/>
              <w:bottom w:type="dxa" w:w="60"/>
              <w:right w:type="dxa" w:w="90"/>
            </w:tcMar>
          </w:tcPr>
          <w:p>
            <w:r>
              <w:rPr>
                <w:b w:val="false"/>
                <w:bCs w:val="false"/>
                <w:color w:val="1A1A17"/>
                <w:sz w:val="19"/>
                <w:szCs w:val="19"/>
              </w:rPr>
              <w:t xml:space="preserve">Cards</w:t>
            </w:r>
          </w:p>
        </w:tc>
      </w:tr>
      <w:tr>
        <w:tc>
          <w:tcPr>
            <w:tcW w:type="dxa" w:w="2340"/>
            <w:tcMar>
              <w:top w:type="dxa" w:w="60"/>
              <w:left w:type="dxa" w:w="90"/>
              <w:bottom w:type="dxa" w:w="60"/>
              <w:right w:type="dxa" w:w="90"/>
            </w:tcMar>
          </w:tcPr>
          <w:p>
            <w:r>
              <w:rPr>
                <w:b w:val="false"/>
                <w:bCs w:val="false"/>
                <w:color w:val="1A1A17"/>
                <w:sz w:val="19"/>
                <w:szCs w:val="19"/>
              </w:rPr>
              <w:t xml:space="preserve">elevatedSurface</w:t>
            </w:r>
          </w:p>
        </w:tc>
        <w:tc>
          <w:tcPr>
            <w:tcW w:type="dxa" w:w="2340"/>
            <w:tcMar>
              <w:top w:type="dxa" w:w="60"/>
              <w:left w:type="dxa" w:w="90"/>
              <w:bottom w:type="dxa" w:w="60"/>
              <w:right w:type="dxa" w:w="90"/>
            </w:tcMar>
          </w:tcPr>
          <w:p>
            <w:r>
              <w:rPr>
                <w:b w:val="false"/>
                <w:bCs w:val="false"/>
                <w:color w:val="1A1A17"/>
                <w:sz w:val="19"/>
                <w:szCs w:val="19"/>
              </w:rPr>
              <w:t xml:space="preserve">#1C2136</w:t>
            </w:r>
          </w:p>
        </w:tc>
        <w:tc>
          <w:tcPr>
            <w:tcW w:type="dxa" w:w="2340"/>
            <w:tcMar>
              <w:top w:type="dxa" w:w="60"/>
              <w:left w:type="dxa" w:w="90"/>
              <w:bottom w:type="dxa" w:w="60"/>
              <w:right w:type="dxa" w:w="90"/>
            </w:tcMar>
          </w:tcPr>
          <w:p>
            <w:r>
              <w:rPr>
                <w:b w:val="false"/>
                <w:bCs w:val="false"/>
                <w:color w:val="1A1A17"/>
                <w:sz w:val="19"/>
                <w:szCs w:val="19"/>
              </w:rPr>
              <w:t xml:space="preserve">#F2F0EA</w:t>
            </w:r>
          </w:p>
        </w:tc>
        <w:tc>
          <w:tcPr>
            <w:tcW w:type="dxa" w:w="2340"/>
            <w:tcMar>
              <w:top w:type="dxa" w:w="60"/>
              <w:left w:type="dxa" w:w="90"/>
              <w:bottom w:type="dxa" w:w="60"/>
              <w:right w:type="dxa" w:w="90"/>
            </w:tcMar>
          </w:tcPr>
          <w:p>
            <w:r>
              <w:rPr>
                <w:b w:val="false"/>
                <w:bCs w:val="false"/>
                <w:color w:val="1A1A17"/>
                <w:sz w:val="19"/>
                <w:szCs w:val="19"/>
              </w:rPr>
              <w:t xml:space="preserve">Raised panels, chips</w:t>
            </w:r>
          </w:p>
        </w:tc>
      </w:tr>
      <w:tr>
        <w:tc>
          <w:tcPr>
            <w:tcW w:type="dxa" w:w="2340"/>
            <w:tcMar>
              <w:top w:type="dxa" w:w="60"/>
              <w:left w:type="dxa" w:w="90"/>
              <w:bottom w:type="dxa" w:w="60"/>
              <w:right w:type="dxa" w:w="90"/>
            </w:tcMar>
          </w:tcPr>
          <w:p>
            <w:r>
              <w:rPr>
                <w:b w:val="false"/>
                <w:bCs w:val="false"/>
                <w:color w:val="1A1A17"/>
                <w:sz w:val="19"/>
                <w:szCs w:val="19"/>
              </w:rPr>
              <w:t xml:space="preserve">textPrimary</w:t>
            </w:r>
          </w:p>
        </w:tc>
        <w:tc>
          <w:tcPr>
            <w:tcW w:type="dxa" w:w="2340"/>
            <w:tcMar>
              <w:top w:type="dxa" w:w="60"/>
              <w:left w:type="dxa" w:w="90"/>
              <w:bottom w:type="dxa" w:w="60"/>
              <w:right w:type="dxa" w:w="90"/>
            </w:tcMar>
          </w:tcPr>
          <w:p>
            <w:r>
              <w:rPr>
                <w:b w:val="false"/>
                <w:bCs w:val="false"/>
                <w:color w:val="1A1A17"/>
                <w:sz w:val="19"/>
                <w:szCs w:val="19"/>
              </w:rPr>
              <w:t xml:space="preserve">#F5EDD6</w:t>
            </w:r>
          </w:p>
        </w:tc>
        <w:tc>
          <w:tcPr>
            <w:tcW w:type="dxa" w:w="2340"/>
            <w:tcMar>
              <w:top w:type="dxa" w:w="60"/>
              <w:left w:type="dxa" w:w="90"/>
              <w:bottom w:type="dxa" w:w="60"/>
              <w:right w:type="dxa" w:w="90"/>
            </w:tcMar>
          </w:tcPr>
          <w:p>
            <w:r>
              <w:rPr>
                <w:b w:val="false"/>
                <w:bCs w:val="false"/>
                <w:color w:val="1A1A17"/>
                <w:sz w:val="19"/>
                <w:szCs w:val="19"/>
              </w:rPr>
              <w:t xml:space="preserve">#1A1A17</w:t>
            </w:r>
          </w:p>
        </w:tc>
        <w:tc>
          <w:tcPr>
            <w:tcW w:type="dxa" w:w="2340"/>
            <w:tcMar>
              <w:top w:type="dxa" w:w="60"/>
              <w:left w:type="dxa" w:w="90"/>
              <w:bottom w:type="dxa" w:w="60"/>
              <w:right w:type="dxa" w:w="90"/>
            </w:tcMar>
          </w:tcPr>
          <w:p>
            <w:r>
              <w:rPr>
                <w:b w:val="false"/>
                <w:bCs w:val="false"/>
                <w:color w:val="1A1A17"/>
                <w:sz w:val="19"/>
                <w:szCs w:val="19"/>
              </w:rPr>
              <w:t xml:space="preserve">Body — never pure white on dark</w:t>
            </w:r>
          </w:p>
        </w:tc>
      </w:tr>
      <w:tr>
        <w:tc>
          <w:tcPr>
            <w:tcW w:type="dxa" w:w="2340"/>
            <w:tcMar>
              <w:top w:type="dxa" w:w="60"/>
              <w:left w:type="dxa" w:w="90"/>
              <w:bottom w:type="dxa" w:w="60"/>
              <w:right w:type="dxa" w:w="90"/>
            </w:tcMar>
          </w:tcPr>
          <w:p>
            <w:r>
              <w:rPr>
                <w:b w:val="false"/>
                <w:bCs w:val="false"/>
                <w:color w:val="1A1A17"/>
                <w:sz w:val="19"/>
                <w:szCs w:val="19"/>
              </w:rPr>
              <w:t xml:space="preserve">textSecondary</w:t>
            </w:r>
          </w:p>
        </w:tc>
        <w:tc>
          <w:tcPr>
            <w:tcW w:type="dxa" w:w="2340"/>
            <w:tcMar>
              <w:top w:type="dxa" w:w="60"/>
              <w:left w:type="dxa" w:w="90"/>
              <w:bottom w:type="dxa" w:w="60"/>
              <w:right w:type="dxa" w:w="90"/>
            </w:tcMar>
          </w:tcPr>
          <w:p>
            <w:r>
              <w:rPr>
                <w:b w:val="false"/>
                <w:bCs w:val="false"/>
                <w:color w:val="1A1A17"/>
                <w:sz w:val="19"/>
                <w:szCs w:val="19"/>
              </w:rPr>
              <w:t xml:space="preserve">#7885A8</w:t>
            </w:r>
          </w:p>
        </w:tc>
        <w:tc>
          <w:tcPr>
            <w:tcW w:type="dxa" w:w="2340"/>
            <w:tcMar>
              <w:top w:type="dxa" w:w="60"/>
              <w:left w:type="dxa" w:w="90"/>
              <w:bottom w:type="dxa" w:w="60"/>
              <w:right w:type="dxa" w:w="90"/>
            </w:tcMar>
          </w:tcPr>
          <w:p>
            <w:r>
              <w:rPr>
                <w:b w:val="false"/>
                <w:bCs w:val="false"/>
                <w:color w:val="1A1A17"/>
                <w:sz w:val="19"/>
                <w:szCs w:val="19"/>
              </w:rPr>
              <w:t xml:space="preserve">—</w:t>
            </w:r>
          </w:p>
        </w:tc>
        <w:tc>
          <w:tcPr>
            <w:tcW w:type="dxa" w:w="2340"/>
            <w:tcMar>
              <w:top w:type="dxa" w:w="60"/>
              <w:left w:type="dxa" w:w="90"/>
              <w:bottom w:type="dxa" w:w="60"/>
              <w:right w:type="dxa" w:w="90"/>
            </w:tcMar>
          </w:tcPr>
          <w:p>
            <w:r>
              <w:rPr>
                <w:b w:val="false"/>
                <w:bCs w:val="false"/>
                <w:color w:val="1A1A17"/>
                <w:sz w:val="19"/>
                <w:szCs w:val="19"/>
              </w:rPr>
              <w:t xml:space="preserve">Supporting text</w:t>
            </w:r>
          </w:p>
        </w:tc>
      </w:tr>
      <w:tr>
        <w:tc>
          <w:tcPr>
            <w:tcW w:type="dxa" w:w="2340"/>
            <w:tcMar>
              <w:top w:type="dxa" w:w="60"/>
              <w:left w:type="dxa" w:w="90"/>
              <w:bottom w:type="dxa" w:w="60"/>
              <w:right w:type="dxa" w:w="90"/>
            </w:tcMar>
          </w:tcPr>
          <w:p>
            <w:r>
              <w:rPr>
                <w:b w:val="false"/>
                <w:bCs w:val="false"/>
                <w:color w:val="1A1A17"/>
                <w:sz w:val="19"/>
                <w:szCs w:val="19"/>
              </w:rPr>
              <w:t xml:space="preserve">primaryButtonBackground</w:t>
            </w:r>
          </w:p>
        </w:tc>
        <w:tc>
          <w:tcPr>
            <w:tcW w:type="dxa" w:w="2340"/>
            <w:tcMar>
              <w:top w:type="dxa" w:w="60"/>
              <w:left w:type="dxa" w:w="90"/>
              <w:bottom w:type="dxa" w:w="60"/>
              <w:right w:type="dxa" w:w="90"/>
            </w:tcMar>
          </w:tcPr>
          <w:p>
            <w:r>
              <w:rPr>
                <w:b w:val="false"/>
                <w:bCs w:val="false"/>
                <w:color w:val="1A1A17"/>
                <w:sz w:val="19"/>
                <w:szCs w:val="19"/>
              </w:rPr>
              <w:t xml:space="preserve">#D4A84B</w:t>
            </w:r>
          </w:p>
        </w:tc>
        <w:tc>
          <w:tcPr>
            <w:tcW w:type="dxa" w:w="2340"/>
            <w:tcMar>
              <w:top w:type="dxa" w:w="60"/>
              <w:left w:type="dxa" w:w="90"/>
              <w:bottom w:type="dxa" w:w="60"/>
              <w:right w:type="dxa" w:w="90"/>
            </w:tcMar>
          </w:tcPr>
          <w:p>
            <w:r>
              <w:rPr>
                <w:b w:val="false"/>
                <w:bCs w:val="false"/>
                <w:color w:val="1A1A17"/>
                <w:sz w:val="19"/>
                <w:szCs w:val="19"/>
              </w:rPr>
              <w:t xml:space="preserve">—</w:t>
            </w:r>
          </w:p>
        </w:tc>
        <w:tc>
          <w:tcPr>
            <w:tcW w:type="dxa" w:w="2340"/>
            <w:tcMar>
              <w:top w:type="dxa" w:w="60"/>
              <w:left w:type="dxa" w:w="90"/>
              <w:bottom w:type="dxa" w:w="60"/>
              <w:right w:type="dxa" w:w="90"/>
            </w:tcMar>
          </w:tcPr>
          <w:p>
            <w:r>
              <w:rPr>
                <w:b w:val="false"/>
                <w:bCs w:val="false"/>
                <w:color w:val="1A1A17"/>
                <w:sz w:val="19"/>
                <w:szCs w:val="19"/>
              </w:rPr>
              <w:t xml:space="preserve">Gold. Primary actions, headings</w:t>
            </w:r>
          </w:p>
        </w:tc>
      </w:tr>
      <w:tr>
        <w:tc>
          <w:tcPr>
            <w:tcW w:type="dxa" w:w="2340"/>
            <w:tcMar>
              <w:top w:type="dxa" w:w="60"/>
              <w:left w:type="dxa" w:w="90"/>
              <w:bottom w:type="dxa" w:w="60"/>
              <w:right w:type="dxa" w:w="90"/>
            </w:tcMar>
          </w:tcPr>
          <w:p>
            <w:r>
              <w:rPr>
                <w:b w:val="false"/>
                <w:bCs w:val="false"/>
                <w:color w:val="1A1A17"/>
                <w:sz w:val="19"/>
                <w:szCs w:val="19"/>
              </w:rPr>
              <w:t xml:space="preserve">navActive / shubhSuccess</w:t>
            </w:r>
          </w:p>
        </w:tc>
        <w:tc>
          <w:tcPr>
            <w:tcW w:type="dxa" w:w="2340"/>
            <w:tcMar>
              <w:top w:type="dxa" w:w="60"/>
              <w:left w:type="dxa" w:w="90"/>
              <w:bottom w:type="dxa" w:w="60"/>
              <w:right w:type="dxa" w:w="90"/>
            </w:tcMar>
          </w:tcPr>
          <w:p>
            <w:r>
              <w:rPr>
                <w:b w:val="false"/>
                <w:bCs w:val="false"/>
                <w:color w:val="1A1A17"/>
                <w:sz w:val="19"/>
                <w:szCs w:val="19"/>
              </w:rPr>
              <w:t xml:space="preserve">#2ABF6E</w:t>
            </w:r>
          </w:p>
        </w:tc>
        <w:tc>
          <w:tcPr>
            <w:tcW w:type="dxa" w:w="2340"/>
            <w:tcMar>
              <w:top w:type="dxa" w:w="60"/>
              <w:left w:type="dxa" w:w="90"/>
              <w:bottom w:type="dxa" w:w="60"/>
              <w:right w:type="dxa" w:w="90"/>
            </w:tcMar>
          </w:tcPr>
          <w:p>
            <w:r>
              <w:rPr>
                <w:b w:val="false"/>
                <w:bCs w:val="false"/>
                <w:color w:val="1A1A17"/>
                <w:sz w:val="19"/>
                <w:szCs w:val="19"/>
              </w:rPr>
              <w:t xml:space="preserve">—</w:t>
            </w:r>
          </w:p>
        </w:tc>
        <w:tc>
          <w:tcPr>
            <w:tcW w:type="dxa" w:w="2340"/>
            <w:tcMar>
              <w:top w:type="dxa" w:w="60"/>
              <w:left w:type="dxa" w:w="90"/>
              <w:bottom w:type="dxa" w:w="60"/>
              <w:right w:type="dxa" w:w="90"/>
            </w:tcMar>
          </w:tcPr>
          <w:p>
            <w:r>
              <w:rPr>
                <w:b w:val="false"/>
                <w:bCs w:val="false"/>
                <w:color w:val="1A1A17"/>
                <w:sz w:val="19"/>
                <w:szCs w:val="19"/>
              </w:rPr>
              <w:t xml:space="preserve">Selected tab, auspicious</w:t>
            </w:r>
          </w:p>
        </w:tc>
      </w:tr>
      <w:tr>
        <w:tc>
          <w:tcPr>
            <w:tcW w:type="dxa" w:w="2340"/>
            <w:tcMar>
              <w:top w:type="dxa" w:w="60"/>
              <w:left w:type="dxa" w:w="90"/>
              <w:bottom w:type="dxa" w:w="60"/>
              <w:right w:type="dxa" w:w="90"/>
            </w:tcMar>
          </w:tcPr>
          <w:p>
            <w:r>
              <w:rPr>
                <w:b w:val="false"/>
                <w:bCs w:val="false"/>
                <w:color w:val="1A1A17"/>
                <w:sz w:val="19"/>
                <w:szCs w:val="19"/>
              </w:rPr>
              <w:t xml:space="preserve">rahuKaalDanger</w:t>
            </w:r>
          </w:p>
        </w:tc>
        <w:tc>
          <w:tcPr>
            <w:tcW w:type="dxa" w:w="2340"/>
            <w:tcMar>
              <w:top w:type="dxa" w:w="60"/>
              <w:left w:type="dxa" w:w="90"/>
              <w:bottom w:type="dxa" w:w="60"/>
              <w:right w:type="dxa" w:w="90"/>
            </w:tcMar>
          </w:tcPr>
          <w:p>
            <w:r>
              <w:rPr>
                <w:b w:val="false"/>
                <w:bCs w:val="false"/>
                <w:color w:val="1A1A17"/>
                <w:sz w:val="19"/>
                <w:szCs w:val="19"/>
              </w:rPr>
              <w:t xml:space="preserve">#E85A4A</w:t>
            </w:r>
          </w:p>
        </w:tc>
        <w:tc>
          <w:tcPr>
            <w:tcW w:type="dxa" w:w="2340"/>
            <w:tcMar>
              <w:top w:type="dxa" w:w="60"/>
              <w:left w:type="dxa" w:w="90"/>
              <w:bottom w:type="dxa" w:w="60"/>
              <w:right w:type="dxa" w:w="90"/>
            </w:tcMar>
          </w:tcPr>
          <w:p>
            <w:r>
              <w:rPr>
                <w:b w:val="false"/>
                <w:bCs w:val="false"/>
                <w:color w:val="1A1A17"/>
                <w:sz w:val="19"/>
                <w:szCs w:val="19"/>
              </w:rPr>
              <w:t xml:space="preserve">—</w:t>
            </w:r>
          </w:p>
        </w:tc>
        <w:tc>
          <w:tcPr>
            <w:tcW w:type="dxa" w:w="2340"/>
            <w:tcMar>
              <w:top w:type="dxa" w:w="60"/>
              <w:left w:type="dxa" w:w="90"/>
              <w:bottom w:type="dxa" w:w="60"/>
              <w:right w:type="dxa" w:w="90"/>
            </w:tcMar>
          </w:tcPr>
          <w:p>
            <w:r>
              <w:rPr>
                <w:b w:val="false"/>
                <w:bCs w:val="false"/>
                <w:color w:val="1A1A17"/>
                <w:sz w:val="19"/>
                <w:szCs w:val="19"/>
              </w:rPr>
              <w:t xml:space="preserve">Inauspicious, destructive actions</w:t>
            </w:r>
          </w:p>
        </w:tc>
      </w:tr>
      <w:tr>
        <w:tc>
          <w:tcPr>
            <w:tcW w:type="dxa" w:w="2340"/>
            <w:tcMar>
              <w:top w:type="dxa" w:w="60"/>
              <w:left w:type="dxa" w:w="90"/>
              <w:bottom w:type="dxa" w:w="60"/>
              <w:right w:type="dxa" w:w="90"/>
            </w:tcMar>
          </w:tcPr>
          <w:p>
            <w:r>
              <w:rPr>
                <w:b w:val="false"/>
                <w:bCs w:val="false"/>
                <w:color w:val="1A1A17"/>
                <w:sz w:val="19"/>
                <w:szCs w:val="19"/>
              </w:rPr>
              <w:t xml:space="preserve">dateTimeAccent</w:t>
            </w:r>
          </w:p>
        </w:tc>
        <w:tc>
          <w:tcPr>
            <w:tcW w:type="dxa" w:w="2340"/>
            <w:tcMar>
              <w:top w:type="dxa" w:w="60"/>
              <w:left w:type="dxa" w:w="90"/>
              <w:bottom w:type="dxa" w:w="60"/>
              <w:right w:type="dxa" w:w="90"/>
            </w:tcMar>
          </w:tcPr>
          <w:p>
            <w:r>
              <w:rPr>
                <w:b w:val="false"/>
                <w:bCs w:val="false"/>
                <w:color w:val="1A1A17"/>
                <w:sz w:val="19"/>
                <w:szCs w:val="19"/>
              </w:rPr>
              <w:t xml:space="preserve">#E8934A</w:t>
            </w:r>
          </w:p>
        </w:tc>
        <w:tc>
          <w:tcPr>
            <w:tcW w:type="dxa" w:w="2340"/>
            <w:tcMar>
              <w:top w:type="dxa" w:w="60"/>
              <w:left w:type="dxa" w:w="90"/>
              <w:bottom w:type="dxa" w:w="60"/>
              <w:right w:type="dxa" w:w="90"/>
            </w:tcMar>
          </w:tcPr>
          <w:p>
            <w:r>
              <w:rPr>
                <w:b w:val="false"/>
                <w:bCs w:val="false"/>
                <w:color w:val="1A1A17"/>
                <w:sz w:val="19"/>
                <w:szCs w:val="19"/>
              </w:rPr>
              <w:t xml:space="preserve">—</w:t>
            </w:r>
          </w:p>
        </w:tc>
        <w:tc>
          <w:tcPr>
            <w:tcW w:type="dxa" w:w="2340"/>
            <w:tcMar>
              <w:top w:type="dxa" w:w="60"/>
              <w:left w:type="dxa" w:w="90"/>
              <w:bottom w:type="dxa" w:w="60"/>
              <w:right w:type="dxa" w:w="90"/>
            </w:tcMar>
          </w:tcPr>
          <w:p>
            <w:r>
              <w:rPr>
                <w:b w:val="false"/>
                <w:bCs w:val="false"/>
                <w:color w:val="1A1A17"/>
                <w:sz w:val="19"/>
                <w:szCs w:val="19"/>
              </w:rPr>
              <w:t xml:space="preserve">Times and dates</w:t>
            </w:r>
          </w:p>
        </w:tc>
      </w:tr>
      <w:tr>
        <w:tc>
          <w:tcPr>
            <w:tcW w:type="dxa" w:w="2340"/>
            <w:tcMar>
              <w:top w:type="dxa" w:w="60"/>
              <w:left w:type="dxa" w:w="90"/>
              <w:bottom w:type="dxa" w:w="60"/>
              <w:right w:type="dxa" w:w="90"/>
            </w:tcMar>
          </w:tcPr>
          <w:p>
            <w:r>
              <w:rPr>
                <w:b w:val="false"/>
                <w:bCs w:val="false"/>
                <w:color w:val="1A1A17"/>
                <w:sz w:val="19"/>
                <w:szCs w:val="19"/>
              </w:rPr>
              <w:t xml:space="preserve">textLink</w:t>
            </w:r>
          </w:p>
        </w:tc>
        <w:tc>
          <w:tcPr>
            <w:tcW w:type="dxa" w:w="2340"/>
            <w:tcMar>
              <w:top w:type="dxa" w:w="60"/>
              <w:left w:type="dxa" w:w="90"/>
              <w:bottom w:type="dxa" w:w="60"/>
              <w:right w:type="dxa" w:w="90"/>
            </w:tcMar>
          </w:tcPr>
          <w:p>
            <w:r>
              <w:rPr>
                <w:b w:val="false"/>
                <w:bCs w:val="false"/>
                <w:color w:val="1A1A17"/>
                <w:sz w:val="19"/>
                <w:szCs w:val="19"/>
              </w:rPr>
              <w:t xml:space="preserve">#4A8FE8</w:t>
            </w:r>
          </w:p>
        </w:tc>
        <w:tc>
          <w:tcPr>
            <w:tcW w:type="dxa" w:w="2340"/>
            <w:tcMar>
              <w:top w:type="dxa" w:w="60"/>
              <w:left w:type="dxa" w:w="90"/>
              <w:bottom w:type="dxa" w:w="60"/>
              <w:right w:type="dxa" w:w="90"/>
            </w:tcMar>
          </w:tcPr>
          <w:p>
            <w:r>
              <w:rPr>
                <w:b w:val="false"/>
                <w:bCs w:val="false"/>
                <w:color w:val="1A1A17"/>
                <w:sz w:val="19"/>
                <w:szCs w:val="19"/>
              </w:rPr>
              <w:t xml:space="preserve">—</w:t>
            </w:r>
          </w:p>
        </w:tc>
        <w:tc>
          <w:tcPr>
            <w:tcW w:type="dxa" w:w="2340"/>
            <w:tcMar>
              <w:top w:type="dxa" w:w="60"/>
              <w:left w:type="dxa" w:w="90"/>
              <w:bottom w:type="dxa" w:w="60"/>
              <w:right w:type="dxa" w:w="90"/>
            </w:tcMar>
          </w:tcPr>
          <w:p>
            <w:r>
              <w:rPr>
                <w:b w:val="false"/>
                <w:bCs w:val="false"/>
                <w:color w:val="1A1A17"/>
                <w:sz w:val="19"/>
                <w:szCs w:val="19"/>
              </w:rPr>
              <w:t xml:space="preserve">Links</w:t>
            </w:r>
          </w:p>
        </w:tc>
      </w:tr>
      <w:tr>
        <w:tc>
          <w:tcPr>
            <w:tcW w:type="dxa" w:w="2340"/>
            <w:tcMar>
              <w:top w:type="dxa" w:w="60"/>
              <w:left w:type="dxa" w:w="90"/>
              <w:bottom w:type="dxa" w:w="60"/>
              <w:right w:type="dxa" w:w="90"/>
            </w:tcMar>
          </w:tcPr>
          <w:p>
            <w:r>
              <w:rPr>
                <w:b w:val="false"/>
                <w:bCs w:val="false"/>
                <w:color w:val="1A1A17"/>
                <w:sz w:val="19"/>
                <w:szCs w:val="19"/>
              </w:rPr>
              <w:t xml:space="preserve">glassCardBorder</w:t>
            </w:r>
          </w:p>
        </w:tc>
        <w:tc>
          <w:tcPr>
            <w:tcW w:type="dxa" w:w="2340"/>
            <w:tcMar>
              <w:top w:type="dxa" w:w="60"/>
              <w:left w:type="dxa" w:w="90"/>
              <w:bottom w:type="dxa" w:w="60"/>
              <w:right w:type="dxa" w:w="90"/>
            </w:tcMar>
          </w:tcPr>
          <w:p>
            <w:r>
              <w:rPr>
                <w:b w:val="false"/>
                <w:bCs w:val="false"/>
                <w:color w:val="1A1A17"/>
                <w:sz w:val="19"/>
                <w:szCs w:val="19"/>
              </w:rPr>
              <w:t xml:space="preserve">#1FFFFFFF</w:t>
            </w:r>
          </w:p>
        </w:tc>
        <w:tc>
          <w:tcPr>
            <w:tcW w:type="dxa" w:w="2340"/>
            <w:tcMar>
              <w:top w:type="dxa" w:w="60"/>
              <w:left w:type="dxa" w:w="90"/>
              <w:bottom w:type="dxa" w:w="60"/>
              <w:right w:type="dxa" w:w="90"/>
            </w:tcMar>
          </w:tcPr>
          <w:p>
            <w:r>
              <w:rPr>
                <w:b w:val="false"/>
                <w:bCs w:val="false"/>
                <w:color w:val="1A1A17"/>
                <w:sz w:val="19"/>
                <w:szCs w:val="19"/>
              </w:rPr>
              <w:t xml:space="preserve">—</w:t>
            </w:r>
          </w:p>
        </w:tc>
        <w:tc>
          <w:tcPr>
            <w:tcW w:type="dxa" w:w="2340"/>
            <w:tcMar>
              <w:top w:type="dxa" w:w="60"/>
              <w:left w:type="dxa" w:w="90"/>
              <w:bottom w:type="dxa" w:w="60"/>
              <w:right w:type="dxa" w:w="90"/>
            </w:tcMar>
          </w:tcPr>
          <w:p>
            <w:r>
              <w:rPr>
                <w:b w:val="false"/>
                <w:bCs w:val="false"/>
                <w:color w:val="1A1A17"/>
                <w:sz w:val="19"/>
                <w:szCs w:val="19"/>
              </w:rPr>
              <w:t xml:space="preserve">Card hairline</w:t>
            </w:r>
          </w:p>
        </w:tc>
      </w:tr>
    </w:tbl>
    <w:p>
      <w:pPr>
        <w:pBdr>
          <w:left w:val="single" w:color="B08A2E" w:sz="18" w:space="12"/>
        </w:pBdr>
        <w:spacing w:after="160" w:before="120"/>
      </w:pPr>
      <w:r>
        <w:rPr>
          <w:i/>
          <w:iCs/>
          <w:color w:val="5A5A52"/>
          <w:sz w:val="20"/>
          <w:szCs w:val="20"/>
        </w:rPr>
        <w:t xml:space="preserve">Never hardcode a colour that only works in one theme. The starfield image is suppressed in light mode, where it reads as a muddy grey wash.</w:t>
      </w:r>
    </w:p>
    <w:p>
      <w:pPr>
        <w:pStyle w:val="Heading1"/>
        <w:spacing w:after="160" w:before="360"/>
      </w:pPr>
      <w:r>
        <w:rPr>
          <w:b/>
          <w:bCs/>
          <w:color w:val="B08A2E"/>
          <w:sz w:val="30"/>
          <w:szCs w:val="30"/>
        </w:rPr>
        <w:t xml:space="preserve">3. Type</w:t>
      </w:r>
    </w:p>
    <w:p>
      <w:pPr>
        <w:spacing w:after="120"/>
      </w:pPr>
      <w:r>
        <w:rPr>
          <w:i w:val="false"/>
          <w:iCs w:val="false"/>
          <w:color w:val="1A1A17"/>
          <w:sz w:val="21"/>
          <w:szCs w:val="21"/>
        </w:rPr>
        <w:t xml:space="preserve">Devanagari clips without help. Compose defaults includeFontPadding to false, which eats i-matras — "पिछला दिन" renders as "ापछला ादन". Type.kt therefore sets PlatformTextStyle(includeFontPadding = true), LineHeightStyle(trim = None), and line heights at 1.35× the font size across the scale. This is not decoration and must not be tidied away.</w:t>
      </w:r>
    </w:p>
    <w:p>
      <w:pPr>
        <w:pStyle w:val="Heading1"/>
        <w:spacing w:after="160" w:before="360"/>
      </w:pPr>
      <w:r>
        <w:rPr>
          <w:b/>
          <w:bCs/>
          <w:color w:val="B08A2E"/>
          <w:sz w:val="30"/>
          <w:szCs w:val="30"/>
        </w:rPr>
        <w:t xml:space="preserve">4. Shared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EEE2" w:color="auto" w:val="clear"/>
            <w:tcMar>
              <w:top w:type="dxa" w:w="60"/>
              <w:left w:type="dxa" w:w="90"/>
              <w:bottom w:type="dxa" w:w="60"/>
              <w:right w:type="dxa" w:w="90"/>
            </w:tcMar>
          </w:tcPr>
          <w:p>
            <w:r>
              <w:rPr>
                <w:b/>
                <w:bCs/>
                <w:color w:val="B08A2E"/>
                <w:sz w:val="19"/>
                <w:szCs w:val="19"/>
              </w:rPr>
              <w:t xml:space="preserve">Component</w:t>
            </w:r>
          </w:p>
        </w:tc>
        <w:tc>
          <w:tcPr>
            <w:tcW w:type="dxa" w:w="4680"/>
            <w:shd w:fill="F2EEE2" w:color="auto" w:val="clear"/>
            <w:tcMar>
              <w:top w:type="dxa" w:w="60"/>
              <w:left w:type="dxa" w:w="90"/>
              <w:bottom w:type="dxa" w:w="60"/>
              <w:right w:type="dxa" w:w="90"/>
            </w:tcMar>
          </w:tcPr>
          <w:p>
            <w:r>
              <w:rPr>
                <w:b/>
                <w:bCs/>
                <w:color w:val="B08A2E"/>
                <w:sz w:val="19"/>
                <w:szCs w:val="19"/>
              </w:rPr>
              <w:t xml:space="preserve">Use</w:t>
            </w:r>
          </w:p>
        </w:tc>
      </w:tr>
      <w:tr>
        <w:tc>
          <w:tcPr>
            <w:tcW w:type="dxa" w:w="4680"/>
            <w:tcMar>
              <w:top w:type="dxa" w:w="60"/>
              <w:left w:type="dxa" w:w="90"/>
              <w:bottom w:type="dxa" w:w="60"/>
              <w:right w:type="dxa" w:w="90"/>
            </w:tcMar>
          </w:tcPr>
          <w:p>
            <w:r>
              <w:rPr>
                <w:b w:val="false"/>
                <w:bCs w:val="false"/>
                <w:color w:val="1A1A17"/>
                <w:sz w:val="19"/>
                <w:szCs w:val="19"/>
              </w:rPr>
              <w:t xml:space="preserve">GlassCard</w:t>
            </w:r>
          </w:p>
        </w:tc>
        <w:tc>
          <w:tcPr>
            <w:tcW w:type="dxa" w:w="4680"/>
            <w:tcMar>
              <w:top w:type="dxa" w:w="60"/>
              <w:left w:type="dxa" w:w="90"/>
              <w:bottom w:type="dxa" w:w="60"/>
              <w:right w:type="dxa" w:w="90"/>
            </w:tcMar>
          </w:tcPr>
          <w:p>
            <w:r>
              <w:rPr>
                <w:b w:val="false"/>
                <w:bCs w:val="false"/>
                <w:color w:val="1A1A17"/>
                <w:sz w:val="19"/>
                <w:szCs w:val="19"/>
              </w:rPr>
              <w:t xml:space="preserve">The default container. A translucent surface with a hairline border.</w:t>
            </w:r>
          </w:p>
        </w:tc>
      </w:tr>
      <w:tr>
        <w:tc>
          <w:tcPr>
            <w:tcW w:type="dxa" w:w="4680"/>
            <w:tcMar>
              <w:top w:type="dxa" w:w="60"/>
              <w:left w:type="dxa" w:w="90"/>
              <w:bottom w:type="dxa" w:w="60"/>
              <w:right w:type="dxa" w:w="90"/>
            </w:tcMar>
          </w:tcPr>
          <w:p>
            <w:r>
              <w:rPr>
                <w:b w:val="false"/>
                <w:bCs w:val="false"/>
                <w:color w:val="1A1A17"/>
                <w:sz w:val="19"/>
                <w:szCs w:val="19"/>
              </w:rPr>
              <w:t xml:space="preserve">BentoTile</w:t>
            </w:r>
          </w:p>
        </w:tc>
        <w:tc>
          <w:tcPr>
            <w:tcW w:type="dxa" w:w="4680"/>
            <w:tcMar>
              <w:top w:type="dxa" w:w="60"/>
              <w:left w:type="dxa" w:w="90"/>
              <w:bottom w:type="dxa" w:w="60"/>
              <w:right w:type="dxa" w:w="90"/>
            </w:tcMar>
          </w:tcPr>
          <w:p>
            <w:r>
              <w:rPr>
                <w:b w:val="false"/>
                <w:bCs w:val="false"/>
                <w:color w:val="1A1A17"/>
                <w:sz w:val="19"/>
                <w:szCs w:val="19"/>
              </w:rPr>
              <w:t xml:space="preserve">Compact facts — a label, a value, an optional sub-line.</w:t>
            </w:r>
          </w:p>
        </w:tc>
      </w:tr>
      <w:tr>
        <w:tc>
          <w:tcPr>
            <w:tcW w:type="dxa" w:w="4680"/>
            <w:tcMar>
              <w:top w:type="dxa" w:w="60"/>
              <w:left w:type="dxa" w:w="90"/>
              <w:bottom w:type="dxa" w:w="60"/>
              <w:right w:type="dxa" w:w="90"/>
            </w:tcMar>
          </w:tcPr>
          <w:p>
            <w:r>
              <w:rPr>
                <w:b w:val="false"/>
                <w:bCs w:val="false"/>
                <w:color w:val="1A1A17"/>
                <w:sz w:val="19"/>
                <w:szCs w:val="19"/>
              </w:rPr>
              <w:t xml:space="preserve">CelestialBackground</w:t>
            </w:r>
          </w:p>
        </w:tc>
        <w:tc>
          <w:tcPr>
            <w:tcW w:type="dxa" w:w="4680"/>
            <w:tcMar>
              <w:top w:type="dxa" w:w="60"/>
              <w:left w:type="dxa" w:w="90"/>
              <w:bottom w:type="dxa" w:w="60"/>
              <w:right w:type="dxa" w:w="90"/>
            </w:tcMar>
          </w:tcPr>
          <w:p>
            <w:r>
              <w:rPr>
                <w:b w:val="false"/>
                <w:bCs w:val="false"/>
                <w:color w:val="1A1A17"/>
                <w:sz w:val="19"/>
                <w:szCs w:val="19"/>
              </w:rPr>
              <w:t xml:space="preserve">The starfield ground. Sits once behind the tab host, not per screen.</w:t>
            </w:r>
          </w:p>
        </w:tc>
      </w:tr>
      <w:tr>
        <w:tc>
          <w:tcPr>
            <w:tcW w:type="dxa" w:w="4680"/>
            <w:tcMar>
              <w:top w:type="dxa" w:w="60"/>
              <w:left w:type="dxa" w:w="90"/>
              <w:bottom w:type="dxa" w:w="60"/>
              <w:right w:type="dxa" w:w="90"/>
            </w:tcMar>
          </w:tcPr>
          <w:p>
            <w:r>
              <w:rPr>
                <w:b w:val="false"/>
                <w:bCs w:val="false"/>
                <w:color w:val="1A1A17"/>
                <w:sz w:val="19"/>
                <w:szCs w:val="19"/>
              </w:rPr>
              <w:t xml:space="preserve">GoldGlowButton</w:t>
            </w:r>
          </w:p>
        </w:tc>
        <w:tc>
          <w:tcPr>
            <w:tcW w:type="dxa" w:w="4680"/>
            <w:tcMar>
              <w:top w:type="dxa" w:w="60"/>
              <w:left w:type="dxa" w:w="90"/>
              <w:bottom w:type="dxa" w:w="60"/>
              <w:right w:type="dxa" w:w="90"/>
            </w:tcMar>
          </w:tcPr>
          <w:p>
            <w:r>
              <w:rPr>
                <w:b w:val="false"/>
                <w:bCs w:val="false"/>
                <w:color w:val="1A1A17"/>
                <w:sz w:val="19"/>
                <w:szCs w:val="19"/>
              </w:rPr>
              <w:t xml:space="preserve">Primary action.</w:t>
            </w:r>
          </w:p>
        </w:tc>
      </w:tr>
      <w:tr>
        <w:tc>
          <w:tcPr>
            <w:tcW w:type="dxa" w:w="4680"/>
            <w:tcMar>
              <w:top w:type="dxa" w:w="60"/>
              <w:left w:type="dxa" w:w="90"/>
              <w:bottom w:type="dxa" w:w="60"/>
              <w:right w:type="dxa" w:w="90"/>
            </w:tcMar>
          </w:tcPr>
          <w:p>
            <w:r>
              <w:rPr>
                <w:b w:val="false"/>
                <w:bCs w:val="false"/>
                <w:color w:val="1A1A17"/>
                <w:sz w:val="19"/>
                <w:szCs w:val="19"/>
              </w:rPr>
              <w:t xml:space="preserve">SectionHeader</w:t>
            </w:r>
          </w:p>
        </w:tc>
        <w:tc>
          <w:tcPr>
            <w:tcW w:type="dxa" w:w="4680"/>
            <w:tcMar>
              <w:top w:type="dxa" w:w="60"/>
              <w:left w:type="dxa" w:w="90"/>
              <w:bottom w:type="dxa" w:w="60"/>
              <w:right w:type="dxa" w:w="90"/>
            </w:tcMar>
          </w:tcPr>
          <w:p>
            <w:r>
              <w:rPr>
                <w:b w:val="false"/>
                <w:bCs w:val="false"/>
                <w:color w:val="1A1A17"/>
                <w:sz w:val="19"/>
                <w:szCs w:val="19"/>
              </w:rPr>
              <w:t xml:space="preserve">Bilingual section title with an optional icon.</w:t>
            </w:r>
          </w:p>
        </w:tc>
      </w:tr>
      <w:tr>
        <w:tc>
          <w:tcPr>
            <w:tcW w:type="dxa" w:w="4680"/>
            <w:tcMar>
              <w:top w:type="dxa" w:w="60"/>
              <w:left w:type="dxa" w:w="90"/>
              <w:bottom w:type="dxa" w:w="60"/>
              <w:right w:type="dxa" w:w="90"/>
            </w:tcMar>
          </w:tcPr>
          <w:p>
            <w:r>
              <w:rPr>
                <w:b w:val="false"/>
                <w:bCs w:val="false"/>
                <w:color w:val="1A1A17"/>
                <w:sz w:val="19"/>
                <w:szCs w:val="19"/>
              </w:rPr>
              <w:t xml:space="preserve">NorthIndianChart / SouthIndianChart</w:t>
            </w:r>
          </w:p>
        </w:tc>
        <w:tc>
          <w:tcPr>
            <w:tcW w:type="dxa" w:w="4680"/>
            <w:tcMar>
              <w:top w:type="dxa" w:w="60"/>
              <w:left w:type="dxa" w:w="90"/>
              <w:bottom w:type="dxa" w:w="60"/>
              <w:right w:type="dxa" w:w="90"/>
            </w:tcMar>
          </w:tcPr>
          <w:p>
            <w:r>
              <w:rPr>
                <w:b w:val="false"/>
                <w:bCs w:val="false"/>
                <w:color w:val="1A1A17"/>
                <w:sz w:val="19"/>
                <w:szCs w:val="19"/>
              </w:rPr>
              <w:t xml:space="preserve">Birth chart canvases, pinch to zoom, tap a house.</w:t>
            </w:r>
          </w:p>
        </w:tc>
      </w:tr>
      <w:tr>
        <w:tc>
          <w:tcPr>
            <w:tcW w:type="dxa" w:w="4680"/>
            <w:tcMar>
              <w:top w:type="dxa" w:w="60"/>
              <w:left w:type="dxa" w:w="90"/>
              <w:bottom w:type="dxa" w:w="60"/>
              <w:right w:type="dxa" w:w="90"/>
            </w:tcMar>
          </w:tcPr>
          <w:p>
            <w:r>
              <w:rPr>
                <w:b w:val="false"/>
                <w:bCs w:val="false"/>
                <w:color w:val="1A1A17"/>
                <w:sz w:val="19"/>
                <w:szCs w:val="19"/>
              </w:rPr>
              <w:t xml:space="preserve">AstroDisclaimer</w:t>
            </w:r>
          </w:p>
        </w:tc>
        <w:tc>
          <w:tcPr>
            <w:tcW w:type="dxa" w:w="4680"/>
            <w:tcMar>
              <w:top w:type="dxa" w:w="60"/>
              <w:left w:type="dxa" w:w="90"/>
              <w:bottom w:type="dxa" w:w="60"/>
              <w:right w:type="dxa" w:w="90"/>
            </w:tcMar>
          </w:tcPr>
          <w:p>
            <w:r>
              <w:rPr>
                <w:b w:val="false"/>
                <w:bCs w:val="false"/>
                <w:color w:val="1A1A17"/>
                <w:sz w:val="19"/>
                <w:szCs w:val="19"/>
              </w:rPr>
              <w:t xml:space="preserve">Scoped notices: TIMINGS, READING, MATCHING, AI.</w:t>
            </w:r>
          </w:p>
        </w:tc>
      </w:tr>
      <w:tr>
        <w:tc>
          <w:tcPr>
            <w:tcW w:type="dxa" w:w="4680"/>
            <w:tcMar>
              <w:top w:type="dxa" w:w="60"/>
              <w:left w:type="dxa" w:w="90"/>
              <w:bottom w:type="dxa" w:w="60"/>
              <w:right w:type="dxa" w:w="90"/>
            </w:tcMar>
          </w:tcPr>
          <w:p>
            <w:r>
              <w:rPr>
                <w:b w:val="false"/>
                <w:bCs w:val="false"/>
                <w:color w:val="1A1A17"/>
                <w:sz w:val="19"/>
                <w:szCs w:val="19"/>
              </w:rPr>
              <w:t xml:space="preserve">M3DatePickerDialog / M3TimePickerDialog</w:t>
            </w:r>
          </w:p>
        </w:tc>
        <w:tc>
          <w:tcPr>
            <w:tcW w:type="dxa" w:w="4680"/>
            <w:tcMar>
              <w:top w:type="dxa" w:w="60"/>
              <w:left w:type="dxa" w:w="90"/>
              <w:bottom w:type="dxa" w:w="60"/>
              <w:right w:type="dxa" w:w="90"/>
            </w:tcMar>
          </w:tcPr>
          <w:p>
            <w:r>
              <w:rPr>
                <w:b w:val="false"/>
                <w:bCs w:val="false"/>
                <w:color w:val="1A1A17"/>
                <w:sz w:val="19"/>
                <w:szCs w:val="19"/>
              </w:rPr>
              <w:t xml:space="preserve">Birth date and time entry.</w:t>
            </w:r>
          </w:p>
        </w:tc>
      </w:tr>
    </w:tbl>
    <w:p>
      <w:pPr>
        <w:spacing w:after="120"/>
      </w:pPr>
      <w:r>
        <w:rPr>
          <w:i w:val="false"/>
          <w:iCs w:val="false"/>
          <w:color w:val="1A1A17"/>
          <w:sz w:val="21"/>
          <w:szCs w:val="21"/>
        </w:rPr>
        <w:t xml:space="preserve">Rows of BentoTile need Modifier.height(IntrinsicSize.Min) on the Row and .fillMaxHeight() on each tile, or a two-line neighbour leaves the other short. Saved Profiles is deliberately not bento — those are action cards, not facts.</w:t>
      </w:r>
    </w:p>
    <w:p>
      <w:pPr>
        <w:pStyle w:val="Heading1"/>
        <w:spacing w:after="160" w:before="360"/>
      </w:pPr>
      <w:r>
        <w:rPr>
          <w:b/>
          <w:bCs/>
          <w:color w:val="B08A2E"/>
          <w:sz w:val="30"/>
          <w:szCs w:val="30"/>
        </w:rPr>
        <w:t xml:space="preserve">5. Navigation</w:t>
      </w:r>
    </w:p>
    <w:p>
      <w:pPr>
        <w:spacing w:after="120"/>
      </w:pPr>
      <w:r>
        <w:rPr>
          <w:i w:val="false"/>
          <w:iCs w:val="false"/>
          <w:color w:val="1A1A17"/>
          <w:sz w:val="21"/>
          <w:szCs w:val="21"/>
        </w:rPr>
        <w:t xml:space="preserve">Five bottom tabs: Panchang, Rashifal, Kundali, Muhurat, More. Panchang and Kundali carry sub-tab rows of their own. Back dismisses whatever is open, then returns to Panchang, and only exits the app from Panchang itself.</w:t>
      </w:r>
    </w:p>
    <w:p>
      <w:pPr>
        <w:pStyle w:val="Heading1"/>
        <w:spacing w:after="160" w:before="360"/>
      </w:pPr>
      <w:r>
        <w:rPr>
          <w:b/>
          <w:bCs/>
          <w:color w:val="B08A2E"/>
          <w:sz w:val="30"/>
          <w:szCs w:val="30"/>
        </w:rPr>
        <w:t xml:space="preserve">6.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EEE2" w:color="auto" w:val="clear"/>
            <w:tcMar>
              <w:top w:type="dxa" w:w="60"/>
              <w:left w:type="dxa" w:w="90"/>
              <w:bottom w:type="dxa" w:w="60"/>
              <w:right w:type="dxa" w:w="90"/>
            </w:tcMar>
          </w:tcPr>
          <w:p>
            <w:r>
              <w:rPr>
                <w:b/>
                <w:bCs/>
                <w:color w:val="B08A2E"/>
                <w:sz w:val="19"/>
                <w:szCs w:val="19"/>
              </w:rPr>
              <w:t xml:space="preserve">Screen</w:t>
            </w:r>
          </w:p>
        </w:tc>
        <w:tc>
          <w:tcPr>
            <w:tcW w:type="dxa" w:w="4680"/>
            <w:shd w:fill="F2EEE2" w:color="auto" w:val="clear"/>
            <w:tcMar>
              <w:top w:type="dxa" w:w="60"/>
              <w:left w:type="dxa" w:w="90"/>
              <w:bottom w:type="dxa" w:w="60"/>
              <w:right w:type="dxa" w:w="90"/>
            </w:tcMar>
          </w:tcPr>
          <w:p>
            <w:r>
              <w:rPr>
                <w:b/>
                <w:bCs/>
                <w:color w:val="B08A2E"/>
                <w:sz w:val="19"/>
                <w:szCs w:val="19"/>
              </w:rPr>
              <w:t xml:space="preserve">Contents</w:t>
            </w:r>
          </w:p>
        </w:tc>
      </w:tr>
      <w:tr>
        <w:tc>
          <w:tcPr>
            <w:tcW w:type="dxa" w:w="4680"/>
            <w:tcMar>
              <w:top w:type="dxa" w:w="60"/>
              <w:left w:type="dxa" w:w="90"/>
              <w:bottom w:type="dxa" w:w="60"/>
              <w:right w:type="dxa" w:w="90"/>
            </w:tcMar>
          </w:tcPr>
          <w:p>
            <w:r>
              <w:rPr>
                <w:b w:val="false"/>
                <w:bCs w:val="false"/>
                <w:color w:val="1A1A17"/>
                <w:sz w:val="19"/>
                <w:szCs w:val="19"/>
              </w:rPr>
              <w:t xml:space="preserve">Splash</w:t>
            </w:r>
          </w:p>
        </w:tc>
        <w:tc>
          <w:tcPr>
            <w:tcW w:type="dxa" w:w="4680"/>
            <w:tcMar>
              <w:top w:type="dxa" w:w="60"/>
              <w:left w:type="dxa" w:w="90"/>
              <w:bottom w:type="dxa" w:w="60"/>
              <w:right w:type="dxa" w:w="90"/>
            </w:tcMar>
          </w:tcPr>
          <w:p>
            <w:r>
              <w:rPr>
                <w:b w:val="false"/>
                <w:bCs w:val="false"/>
                <w:color w:val="1A1A17"/>
                <w:sz w:val="19"/>
                <w:szCs w:val="19"/>
              </w:rPr>
              <w:t xml:space="preserve">Logo, name, typed tagline. Hands over from the system splash, which masks the launcher icon to the launcher's own shape — the Compose splash uses the same rounded square at a matching size so the handover is invisible.</w:t>
            </w:r>
          </w:p>
        </w:tc>
      </w:tr>
      <w:tr>
        <w:tc>
          <w:tcPr>
            <w:tcW w:type="dxa" w:w="4680"/>
            <w:tcMar>
              <w:top w:type="dxa" w:w="60"/>
              <w:left w:type="dxa" w:w="90"/>
              <w:bottom w:type="dxa" w:w="60"/>
              <w:right w:type="dxa" w:w="90"/>
            </w:tcMar>
          </w:tcPr>
          <w:p>
            <w:r>
              <w:rPr>
                <w:b w:val="false"/>
                <w:bCs w:val="false"/>
                <w:color w:val="1A1A17"/>
                <w:sz w:val="19"/>
                <w:szCs w:val="19"/>
              </w:rPr>
              <w:t xml:space="preserve">Onboarding</w:t>
            </w:r>
          </w:p>
        </w:tc>
        <w:tc>
          <w:tcPr>
            <w:tcW w:type="dxa" w:w="4680"/>
            <w:tcMar>
              <w:top w:type="dxa" w:w="60"/>
              <w:left w:type="dxa" w:w="90"/>
              <w:bottom w:type="dxa" w:w="60"/>
              <w:right w:type="dxa" w:w="90"/>
            </w:tcMar>
          </w:tcPr>
          <w:p>
            <w:r>
              <w:rPr>
                <w:b w:val="false"/>
                <w:bCs w:val="false"/>
                <w:color w:val="1A1A17"/>
                <w:sz w:val="19"/>
                <w:szCs w:val="19"/>
              </w:rPr>
              <w:t xml:space="preserve">Language, then rashi, then location and notification permissions. Skippable.</w:t>
            </w:r>
          </w:p>
        </w:tc>
      </w:tr>
      <w:tr>
        <w:tc>
          <w:tcPr>
            <w:tcW w:type="dxa" w:w="4680"/>
            <w:tcMar>
              <w:top w:type="dxa" w:w="60"/>
              <w:left w:type="dxa" w:w="90"/>
              <w:bottom w:type="dxa" w:w="60"/>
              <w:right w:type="dxa" w:w="90"/>
            </w:tcMar>
          </w:tcPr>
          <w:p>
            <w:r>
              <w:rPr>
                <w:b w:val="false"/>
                <w:bCs w:val="false"/>
                <w:color w:val="1A1A17"/>
                <w:sz w:val="19"/>
                <w:szCs w:val="19"/>
              </w:rPr>
              <w:t xml:space="preserve">Panchang</w:t>
            </w:r>
          </w:p>
        </w:tc>
        <w:tc>
          <w:tcPr>
            <w:tcW w:type="dxa" w:w="4680"/>
            <w:tcMar>
              <w:top w:type="dxa" w:w="60"/>
              <w:left w:type="dxa" w:w="90"/>
              <w:bottom w:type="dxa" w:w="60"/>
              <w:right w:type="dxa" w:w="90"/>
            </w:tcMar>
          </w:tcPr>
          <w:p>
            <w:r>
              <w:rPr>
                <w:b w:val="false"/>
                <w:bCs w:val="false"/>
                <w:color w:val="1A1A17"/>
                <w:sz w:val="19"/>
                <w:szCs w:val="19"/>
              </w:rPr>
              <w:t xml:space="preserve">Greeting card, four shortcut tiles, today's rashifal, date and city picker, the five Panchang elements, sun and moon timings, auspicious and inauspicious windows, Choghadiya strip, the day's Lagna chart, planetary positions.</w:t>
            </w:r>
          </w:p>
        </w:tc>
      </w:tr>
      <w:tr>
        <w:tc>
          <w:tcPr>
            <w:tcW w:type="dxa" w:w="4680"/>
            <w:tcMar>
              <w:top w:type="dxa" w:w="60"/>
              <w:left w:type="dxa" w:w="90"/>
              <w:bottom w:type="dxa" w:w="60"/>
              <w:right w:type="dxa" w:w="90"/>
            </w:tcMar>
          </w:tcPr>
          <w:p>
            <w:r>
              <w:rPr>
                <w:b w:val="false"/>
                <w:bCs w:val="false"/>
                <w:color w:val="1A1A17"/>
                <w:sz w:val="19"/>
                <w:szCs w:val="19"/>
              </w:rPr>
              <w:t xml:space="preserve">Calendar</w:t>
            </w:r>
          </w:p>
        </w:tc>
        <w:tc>
          <w:tcPr>
            <w:tcW w:type="dxa" w:w="4680"/>
            <w:tcMar>
              <w:top w:type="dxa" w:w="60"/>
              <w:left w:type="dxa" w:w="90"/>
              <w:bottom w:type="dxa" w:w="60"/>
              <w:right w:type="dxa" w:w="90"/>
            </w:tcMar>
          </w:tcPr>
          <w:p>
            <w:r>
              <w:rPr>
                <w:b w:val="false"/>
                <w:bCs w:val="false"/>
                <w:color w:val="1A1A17"/>
                <w:sz w:val="19"/>
                <w:szCs w:val="19"/>
              </w:rPr>
              <w:t xml:space="preserve">Month grid with festival days marked, the next seven upcoming festivals, region filter.</w:t>
            </w:r>
          </w:p>
        </w:tc>
      </w:tr>
      <w:tr>
        <w:tc>
          <w:tcPr>
            <w:tcW w:type="dxa" w:w="4680"/>
            <w:tcMar>
              <w:top w:type="dxa" w:w="60"/>
              <w:left w:type="dxa" w:w="90"/>
              <w:bottom w:type="dxa" w:w="60"/>
              <w:right w:type="dxa" w:w="90"/>
            </w:tcMar>
          </w:tcPr>
          <w:p>
            <w:r>
              <w:rPr>
                <w:b w:val="false"/>
                <w:bCs w:val="false"/>
                <w:color w:val="1A1A17"/>
                <w:sz w:val="19"/>
                <w:szCs w:val="19"/>
              </w:rPr>
              <w:t xml:space="preserve">Rashifal</w:t>
            </w:r>
          </w:p>
        </w:tc>
        <w:tc>
          <w:tcPr>
            <w:tcW w:type="dxa" w:w="4680"/>
            <w:tcMar>
              <w:top w:type="dxa" w:w="60"/>
              <w:left w:type="dxa" w:w="90"/>
              <w:bottom w:type="dxa" w:w="60"/>
              <w:right w:type="dxa" w:w="90"/>
            </w:tcMar>
          </w:tcPr>
          <w:p>
            <w:r>
              <w:rPr>
                <w:b w:val="false"/>
                <w:bCs w:val="false"/>
                <w:color w:val="1A1A17"/>
                <w:sz w:val="19"/>
                <w:szCs w:val="19"/>
              </w:rPr>
              <w:t xml:space="preserve">A row of sign chips, a period selector, and one card for the selected sign.</w:t>
            </w:r>
          </w:p>
        </w:tc>
      </w:tr>
      <w:tr>
        <w:tc>
          <w:tcPr>
            <w:tcW w:type="dxa" w:w="4680"/>
            <w:tcMar>
              <w:top w:type="dxa" w:w="60"/>
              <w:left w:type="dxa" w:w="90"/>
              <w:bottom w:type="dxa" w:w="60"/>
              <w:right w:type="dxa" w:w="90"/>
            </w:tcMar>
          </w:tcPr>
          <w:p>
            <w:r>
              <w:rPr>
                <w:b w:val="false"/>
                <w:bCs w:val="false"/>
                <w:color w:val="1A1A17"/>
                <w:sz w:val="19"/>
                <w:szCs w:val="19"/>
              </w:rPr>
              <w:t xml:space="preserve">Kundali</w:t>
            </w:r>
          </w:p>
        </w:tc>
        <w:tc>
          <w:tcPr>
            <w:tcW w:type="dxa" w:w="4680"/>
            <w:tcMar>
              <w:top w:type="dxa" w:w="60"/>
              <w:left w:type="dxa" w:w="90"/>
              <w:bottom w:type="dxa" w:w="60"/>
              <w:right w:type="dxa" w:w="90"/>
            </w:tcMar>
          </w:tcPr>
          <w:p>
            <w:r>
              <w:rPr>
                <w:b w:val="false"/>
                <w:bCs w:val="false"/>
                <w:color w:val="1A1A17"/>
                <w:sz w:val="19"/>
                <w:szCs w:val="19"/>
              </w:rPr>
              <w:t xml:space="preserve">Sub-tabs: Birth Chart, Matching, Numerology, Transits.</w:t>
            </w:r>
          </w:p>
        </w:tc>
      </w:tr>
      <w:tr>
        <w:tc>
          <w:tcPr>
            <w:tcW w:type="dxa" w:w="4680"/>
            <w:tcMar>
              <w:top w:type="dxa" w:w="60"/>
              <w:left w:type="dxa" w:w="90"/>
              <w:bottom w:type="dxa" w:w="60"/>
              <w:right w:type="dxa" w:w="90"/>
            </w:tcMar>
          </w:tcPr>
          <w:p>
            <w:r>
              <w:rPr>
                <w:b w:val="false"/>
                <w:bCs w:val="false"/>
                <w:color w:val="1A1A17"/>
                <w:sz w:val="19"/>
                <w:szCs w:val="19"/>
              </w:rPr>
              <w:t xml:space="preserve">Muhurat</w:t>
            </w:r>
          </w:p>
        </w:tc>
        <w:tc>
          <w:tcPr>
            <w:tcW w:type="dxa" w:w="4680"/>
            <w:tcMar>
              <w:top w:type="dxa" w:w="60"/>
              <w:left w:type="dxa" w:w="90"/>
              <w:bottom w:type="dxa" w:w="60"/>
              <w:right w:type="dxa" w:w="90"/>
            </w:tcMar>
          </w:tcPr>
          <w:p>
            <w:r>
              <w:rPr>
                <w:b w:val="false"/>
                <w:bCs w:val="false"/>
                <w:color w:val="1A1A17"/>
                <w:sz w:val="19"/>
                <w:szCs w:val="19"/>
              </w:rPr>
              <w:t xml:space="preserve">Choghadiya day/night, event muhurat finder.</w:t>
            </w:r>
          </w:p>
        </w:tc>
      </w:tr>
      <w:tr>
        <w:tc>
          <w:tcPr>
            <w:tcW w:type="dxa" w:w="4680"/>
            <w:tcMar>
              <w:top w:type="dxa" w:w="60"/>
              <w:left w:type="dxa" w:w="90"/>
              <w:bottom w:type="dxa" w:w="60"/>
              <w:right w:type="dxa" w:w="90"/>
            </w:tcMar>
          </w:tcPr>
          <w:p>
            <w:r>
              <w:rPr>
                <w:b w:val="false"/>
                <w:bCs w:val="false"/>
                <w:color w:val="1A1A17"/>
                <w:sz w:val="19"/>
                <w:szCs w:val="19"/>
              </w:rPr>
              <w:t xml:space="preserve">More</w:t>
            </w:r>
          </w:p>
        </w:tc>
        <w:tc>
          <w:tcPr>
            <w:tcW w:type="dxa" w:w="4680"/>
            <w:tcMar>
              <w:top w:type="dxa" w:w="60"/>
              <w:left w:type="dxa" w:w="90"/>
              <w:bottom w:type="dxa" w:w="60"/>
              <w:right w:type="dxa" w:w="90"/>
            </w:tcMar>
          </w:tcPr>
          <w:p>
            <w:r>
              <w:rPr>
                <w:b w:val="false"/>
                <w:bCs w:val="false"/>
                <w:color w:val="1A1A17"/>
                <w:sz w:val="19"/>
                <w:szCs w:val="19"/>
              </w:rPr>
              <w:t xml:space="preserve">Sub-tabs: Profiles and Settings.</w:t>
            </w:r>
          </w:p>
        </w:tc>
      </w:tr>
      <w:tr>
        <w:tc>
          <w:tcPr>
            <w:tcW w:type="dxa" w:w="4680"/>
            <w:tcMar>
              <w:top w:type="dxa" w:w="60"/>
              <w:left w:type="dxa" w:w="90"/>
              <w:bottom w:type="dxa" w:w="60"/>
              <w:right w:type="dxa" w:w="90"/>
            </w:tcMar>
          </w:tcPr>
          <w:p>
            <w:r>
              <w:rPr>
                <w:b w:val="false"/>
                <w:bCs w:val="false"/>
                <w:color w:val="1A1A17"/>
                <w:sz w:val="19"/>
                <w:szCs w:val="19"/>
              </w:rPr>
              <w:t xml:space="preserve">Auth</w:t>
            </w:r>
          </w:p>
        </w:tc>
        <w:tc>
          <w:tcPr>
            <w:tcW w:type="dxa" w:w="4680"/>
            <w:tcMar>
              <w:top w:type="dxa" w:w="60"/>
              <w:left w:type="dxa" w:w="90"/>
              <w:bottom w:type="dxa" w:w="60"/>
              <w:right w:type="dxa" w:w="90"/>
            </w:tcMar>
          </w:tcPr>
          <w:p>
            <w:r>
              <w:rPr>
                <w:b w:val="false"/>
                <w:bCs w:val="false"/>
                <w:color w:val="1A1A17"/>
                <w:sz w:val="19"/>
                <w:szCs w:val="19"/>
              </w:rPr>
              <w:t xml:space="preserve">Optional. Opens as a full-screen dialog from Saved Profiles or Settings.</w:t>
            </w:r>
          </w:p>
        </w:tc>
      </w:tr>
    </w:tbl>
    <w:p>
      <w:pPr>
        <w:pStyle w:val="Heading1"/>
        <w:spacing w:after="160" w:before="360"/>
      </w:pPr>
      <w:r>
        <w:rPr>
          <w:b/>
          <w:bCs/>
          <w:color w:val="B08A2E"/>
          <w:sz w:val="30"/>
          <w:szCs w:val="30"/>
        </w:rPr>
        <w:t xml:space="preserve">7. Interaction rules learnt the hard way</w:t>
      </w:r>
    </w:p>
    <w:p>
      <w:pPr>
        <w:pStyle w:val="ListParagraph"/>
        <w:numPr>
          <w:ilvl w:val="0"/>
          <w:numId w:val="1"/>
        </w:numPr>
        <w:spacing w:after="80"/>
      </w:pPr>
      <w:r>
        <w:rPr>
          <w:color w:val="1A1A17"/>
          <w:sz w:val="21"/>
          <w:szCs w:val="21"/>
        </w:rPr>
        <w:t xml:space="preserve">The daily chart is full width and centred. At 85% width in a start-aligned column all the slack piled up on one side.</w:t>
      </w:r>
    </w:p>
    <w:p>
      <w:pPr>
        <w:pStyle w:val="ListParagraph"/>
        <w:numPr>
          <w:ilvl w:val="0"/>
          <w:numId w:val="1"/>
        </w:numPr>
        <w:spacing w:after="80"/>
      </w:pPr>
      <w:r>
        <w:rPr>
          <w:color w:val="1A1A17"/>
          <w:sz w:val="21"/>
          <w:szCs w:val="21"/>
        </w:rPr>
        <w:t xml:space="preserve">The chart claims no gesture until the user has pinched in. detectTransformGestures consumed the drag even at rest, and the page stopped dead under the finger.</w:t>
      </w:r>
    </w:p>
    <w:p>
      <w:pPr>
        <w:pStyle w:val="ListParagraph"/>
        <w:numPr>
          <w:ilvl w:val="0"/>
          <w:numId w:val="1"/>
        </w:numPr>
        <w:spacing w:after="80"/>
      </w:pPr>
      <w:r>
        <w:rPr>
          <w:color w:val="1A1A17"/>
          <w:sz w:val="21"/>
          <w:szCs w:val="21"/>
        </w:rPr>
        <w:t xml:space="preserve">Any row with a growing left side and a fixed right side needs Modifier.weight(1f) on the left, or the right column wraps — "20.4°" broke across two lines and "Retrograde" across four.</w:t>
      </w:r>
    </w:p>
    <w:p>
      <w:pPr>
        <w:pStyle w:val="ListParagraph"/>
        <w:numPr>
          <w:ilvl w:val="0"/>
          <w:numId w:val="1"/>
        </w:numPr>
        <w:spacing w:after="80"/>
      </w:pPr>
      <w:r>
        <w:rPr>
          <w:color w:val="1A1A17"/>
          <w:sz w:val="21"/>
          <w:szCs w:val="21"/>
        </w:rPr>
        <w:t xml:space="preserve">The Rashifal screen has no carousel. A HorizontalPager of twelve signs inside a vertically scrolling page snagged mid-swipe and showed half-drawn neighbours that read as clipped text.</w:t>
      </w:r>
    </w:p>
    <w:p>
      <w:pPr>
        <w:pStyle w:val="ListParagraph"/>
        <w:numPr>
          <w:ilvl w:val="0"/>
          <w:numId w:val="1"/>
        </w:numPr>
        <w:spacing w:after="80"/>
      </w:pPr>
      <w:r>
        <w:rPr>
          <w:color w:val="1A1A17"/>
          <w:sz w:val="21"/>
          <w:szCs w:val="21"/>
        </w:rPr>
        <w:t xml:space="preserve">Date and time pickers open on the keyboard, not the calendar or the dial. A birth date is decades back; a birth time is easier typed than dialled.</w:t>
      </w:r>
    </w:p>
    <w:p>
      <w:pPr>
        <w:pStyle w:val="ListParagraph"/>
        <w:numPr>
          <w:ilvl w:val="0"/>
          <w:numId w:val="1"/>
        </w:numPr>
        <w:spacing w:after="80"/>
      </w:pPr>
      <w:r>
        <w:rPr>
          <w:color w:val="1A1A17"/>
          <w:sz w:val="21"/>
          <w:szCs w:val="21"/>
        </w:rPr>
        <w:t xml:space="preserve">Hindi labels are longer than English ones. "जन्म तिथि" wrapped in a narrow field and made the box taller than its neighbour. Narrow labels are held to one line.</w:t>
      </w:r>
    </w:p>
    <w:p>
      <w:pPr>
        <w:pStyle w:val="Heading1"/>
        <w:spacing w:after="160" w:before="360"/>
      </w:pPr>
      <w:r>
        <w:rPr>
          <w:b/>
          <w:bCs/>
          <w:color w:val="B08A2E"/>
          <w:sz w:val="30"/>
          <w:szCs w:val="30"/>
        </w:rPr>
        <w:t xml:space="preserve">8. Language</w:t>
      </w:r>
    </w:p>
    <w:p>
      <w:pPr>
        <w:spacing w:after="120"/>
      </w:pPr>
      <w:r>
        <w:rPr>
          <w:i w:val="false"/>
          <w:iCs w:val="false"/>
          <w:color w:val="1A1A17"/>
          <w:sz w:val="21"/>
          <w:szCs w:val="21"/>
        </w:rPr>
        <w:t xml:space="preserve">Nothing user-facing may be a bare string. Use LanguageManager.getString(hi, en) or a *Local extension such as PanchangLocalized or FestivalLocalized. A sweep in August 2026 fixed 170 hardcoded Hindi strings that English users were seeing — notifications, the widget, share text, the PDF report, chart glyphs, error messages — and a second sweep in September fixed fourteen English-only ones. Do not reintroduce them.</w:t>
      </w:r>
    </w:p>
    <w:p>
      <w:pPr>
        <w:spacing w:after="120"/>
      </w:pPr>
      <w:r>
        <w:rPr>
          <w:i w:val="false"/>
          <w:iCs w:val="false"/>
          <w:color w:val="1A1A17"/>
          <w:sz w:val="21"/>
          <w:szCs w:val="21"/>
        </w:rPr>
        <w:t xml:space="preserve">The in-app toggle is independent of the device locale. Android resource strings (notification channel names, widget picker labels) follow the device locale instead and exist in values/ and values-hi/.</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2026-09-03T01:01:46.288Z</dcterms:created>
  <dcterms:modified xsi:type="dcterms:W3CDTF">2026-09-03T01:01:46.289Z</dcterms:modified>
</cp:coreProperties>
</file>

<file path=docProps/custom.xml><?xml version="1.0" encoding="utf-8"?>
<Properties xmlns="http://schemas.openxmlformats.org/officeDocument/2006/custom-properties" xmlns:vt="http://schemas.openxmlformats.org/officeDocument/2006/docPropsVTypes"/>
</file>