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NS-3 Simulation Enhancement Plan</w:t>
      </w:r>
    </w:p>
    <w:p>
      <w:pPr>
        <w:spacing w:after="60"/>
        <w:jc w:val="center"/>
      </w:pPr>
      <w:r>
        <w:rPr>
          <w:sz w:val="24"/>
          <w:szCs w:val="24"/>
        </w:rPr>
        <w:t xml:space="preserve">Improvement Plan for Four Items to Increase Accuracy in Linking Simulation with Field Validation</w:t>
      </w:r>
    </w:p>
    <w:p>
      <w:pPr>
        <w:spacing w:after="240"/>
        <w:jc w:val="center"/>
      </w:pPr>
      <w:r>
        <w:rPr>
          <w:i/>
          <w:iCs/>
          <w:sz w:val="22"/>
          <w:szCs w:val="22"/>
        </w:rPr>
        <w:t xml:space="preserve">Hybrid Network Construction and Performance Evaluation for Multi-Robot Systems at Construction Sites — Supplementary Plan</w:t>
      </w:r>
    </w:p>
    <w:p>
      <w:pPr>
        <w:pStyle w:val="Heading1"/>
      </w:pPr>
      <w:r>
        <w:t xml:space="preserve">1. Background and Objectives of the Enhancement</w:t>
      </w:r>
    </w:p>
    <w:p>
      <w:pPr>
        <w:pStyle w:val="Heading2"/>
      </w:pPr>
      <w:r>
        <w:t xml:space="preserve">1.1 Limitations of the Current Simulation</w:t>
      </w:r>
    </w:p>
    <w:p>
      <w:pPr>
        <w:spacing w:after="120"/>
      </w:pPr>
      <w:r>
        <w:t xml:space="preserve">The Phase 1 NS-3 hybrid simulation conducted in 2026 successfully verified the basic operation of automatic WiFi+LTE / WiFi+5G switching. However, in order to proceed to the laboratory environment setup (Phase 2) and the construction-site field validation (Phase 3), the realism of the simulation model needs to be improved in the following four respects.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Item</w:t>
            </w:r>
          </w:p>
        </w:tc>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Current Limitation</w:t>
            </w:r>
          </w:p>
        </w:tc>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Expected Problem in Field Validation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Mobility model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Gauss-Markov 3D random movement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Actual robots move along constrained paths, so the RSSI variation pattern differs, causing errors in predicting switching frequency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Traffic model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Generic HTTP/HTTPS/Video/VoIP traffic</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Robot control, sensor, and video flows have different QoS requirements, so average PDR alone cannot judge actual performance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WiFi internal handover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Movement between APs is not modeled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Internal HO when crossing AP boundaries may interfere with the cellular switching logic</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Statistical reinforcement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Only 3 RNG seeds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Wide confidence intervals make it difficult to claim statistical significance of performance differences between modes</w:t>
            </w:r>
          </w:p>
        </w:tc>
      </w:tr>
    </w:tbl>
    <w:p/>
    <w:p>
      <w:pPr>
        <w:pStyle w:val="Heading2"/>
      </w:pPr>
      <w:r>
        <w:t xml:space="preserve">1.2 Objectives of the Enhancement</w:t>
      </w:r>
    </w:p>
    <w:p>
      <w:pPr>
        <w:pStyle w:val="ListParagraph"/>
        <w:numPr>
          <w:ilvl w:val="0"/>
          <w:numId w:val="2"/>
        </w:numPr>
        <w:spacing w:after="60"/>
      </w:pPr>
      <w:r>
        <w:t xml:space="preserve">Minimize the gap between simulation results and field-validation results by improving the four items.</w:t>
      </w:r>
    </w:p>
    <w:p>
      <w:pPr>
        <w:pStyle w:val="ListParagraph"/>
        <w:numPr>
          <w:ilvl w:val="0"/>
          <w:numId w:val="2"/>
        </w:numPr>
        <w:spacing w:after="60"/>
      </w:pPr>
      <w:r>
        <w:t xml:space="preserve">Directly verify the latency/loss thresholds of robot control commands through per-flow QoS measurement.</w:t>
      </w:r>
    </w:p>
    <w:p>
      <w:pPr>
        <w:pStyle w:val="ListParagraph"/>
        <w:numPr>
          <w:ilvl w:val="0"/>
          <w:numId w:val="2"/>
        </w:numPr>
        <w:spacing w:after="60"/>
      </w:pPr>
      <w:r>
        <w:t xml:space="preserve">Strengthen the statistical basis to give credibility to the WiFi+LTE vs. WiFi+5G superiority judgment.</w:t>
      </w:r>
    </w:p>
    <w:p>
      <w:pPr>
        <w:pStyle w:val="Heading1"/>
      </w:pPr>
      <w:r>
        <w:t xml:space="preserve">2. Making the Mobility Model Realistic</w:t>
      </w:r>
    </w:p>
    <w:p>
      <w:pPr>
        <w:pStyle w:val="Heading2"/>
      </w:pPr>
      <w:r>
        <w:t xml:space="preserve">2.1 Current Model and Its Problems</w:t>
      </w:r>
    </w:p>
    <w:p>
      <w:pPr>
        <w:spacing w:after="120"/>
      </w:pPr>
      <w:r>
        <w:t xml:space="preserve">The current Gauss-Markov 3D mobility model lets nodes wander randomly through space. Construction-site robots follow structured movement patterns — predefined routes, stops at work positions, and repeated patrols — so the random-movement assumption diverges from the actual RSSI variation behavior.</w:t>
      </w:r>
    </w:p>
    <w:p>
      <w:pPr>
        <w:pStyle w:val="Heading2"/>
      </w:pPr>
      <w:r>
        <w:t xml:space="preserve">2.2 Improvement: Waypoint + Dwell Time Model</w:t>
      </w:r>
    </w:p>
    <w:p>
      <w:pPr>
        <w:spacing w:after="120"/>
      </w:pPr>
      <w:r>
        <w:t xml:space="preserve">Representative construction-site movement patterns are modeled using NS-3's WaypointMobilityModel.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Movement Type</w:t>
            </w:r>
          </w:p>
        </w:tc>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Modeling Method</w:t>
            </w:r>
          </w:p>
        </w:tc>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Remarks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Regular patrol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Repeated loop over 3–5 waypoints, pausing 5–30 s after reaching each point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Surveillance/measurement robots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Path movement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Travel along corridors (between obstacles), decelerating near walls and buildings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Logistics/transport robots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Work stop</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Stop at a specific coordinate for 30–120 s, then move to the next waypoint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Welding/finishing robots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Obstacle approach</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Entering/exiting building interiors, passing near core walls and elevator shafts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Reproduces zones of sharp RSSI drop</w:t>
            </w:r>
          </w:p>
        </w:tc>
      </w:tr>
    </w:tbl>
    <w:p/>
    <w:p>
      <w:pPr>
        <w:pStyle w:val="Heading2"/>
      </w:pPr>
      <w:r>
        <w:t xml:space="preserve">2.3 Implementation Plan</w:t>
      </w:r>
    </w:p>
    <w:p>
      <w:pPr>
        <w:pStyle w:val="ListParagraph"/>
        <w:numPr>
          <w:ilvl w:val="0"/>
          <w:numId w:val="2"/>
        </w:numPr>
        <w:spacing w:after="60"/>
      </w:pPr>
      <w:r>
        <w:t xml:space="preserve">Enter waypoint coordinates into the NS-3 WaypointMobilityModel.</w:t>
      </w:r>
    </w:p>
    <w:p>
      <w:pPr>
        <w:pStyle w:val="ListParagraph"/>
        <w:numPr>
          <w:ilvl w:val="0"/>
          <w:numId w:val="2"/>
        </w:numPr>
        <w:spacing w:after="60"/>
      </w:pPr>
      <w:r>
        <w:t xml:space="preserve">Add 3 scenario types by robot category (patrol / transport / work): existing 192 scenarios + extended scenarios.</w:t>
      </w:r>
    </w:p>
    <w:p>
      <w:pPr>
        <w:pStyle w:val="ListParagraph"/>
        <w:numPr>
          <w:ilvl w:val="0"/>
          <w:numId w:val="2"/>
        </w:numPr>
        <w:spacing w:after="60"/>
      </w:pPr>
      <w:r>
        <w:t xml:space="preserve">Speed parameters: 3-level comparison — 0.5 m/s (precision work), 2.0 m/s (movement), 5.0 m/s (existing baseline).</w:t>
      </w:r>
    </w:p>
    <w:p>
      <w:pPr>
        <w:pStyle w:val="ListParagraph"/>
        <w:numPr>
          <w:ilvl w:val="0"/>
          <w:numId w:val="2"/>
        </w:numPr>
        <w:spacing w:after="60"/>
      </w:pPr>
      <w:r>
        <w:t xml:space="preserve">Compare the change in switching frequency caused by the mobility-model change against the existing Gauss-Markov results.</w:t>
      </w:r>
    </w:p>
    <w:p>
      <w:pPr>
        <w:pStyle w:val="Heading3"/>
      </w:pPr>
      <w:r>
        <w:t xml:space="preserve">2.3.1 3D Visualization and Animation Deliverables</w:t>
      </w:r>
    </w:p>
    <w:p>
      <w:pPr>
        <w:spacing w:after="120"/>
      </w:pPr>
      <w:r>
        <w:t xml:space="preserve">The following visualization deliverables are produced for intuitive verification of simulation results and as preparation material for 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Deliverable</w:t>
            </w:r>
          </w:p>
        </w:tc>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Purpose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Node movement animation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Visual confirmation of per-node movement paths and switching events; attached to reports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3D trajectory plot (matplotlib)</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Confirm 3D movement trajectories per route; identify points where AP coverage boundaries are crossed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RSSI heatmap (2D)</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Visualize WiFi dead zones and switching hotspots; basis for AP placement optimization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Switching timeline GIF</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Identify switching-intensive zones and time periods; derive observation points for field validation in advance</w:t>
            </w:r>
          </w:p>
        </w:tc>
      </w:tr>
    </w:tbl>
    <w:p/>
    <w:p>
      <w:pPr>
        <w:pStyle w:val="Heading2"/>
      </w:pPr>
      <w:r>
        <w:t xml:space="preserve">2.4 Expected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Before (Gauss-Markov)</w:t>
            </w:r>
          </w:p>
        </w:tc>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After (Waypoint)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RSSI variation: continuous and gradual (random walk)</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RSSI variation: can reproduce abrupt-change zones when entering/leaving a route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Switching events: dispersed over time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Switching events: concentrated when entering shadow zones, similar to field conditions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 dwell time → return delay underestimated</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Whether the return condition is satisfied can be fully observed during stop intervals</w:t>
            </w:r>
          </w:p>
        </w:tc>
      </w:tr>
    </w:tbl>
    <w:p>
      <w:pPr>
        <w:pStyle w:val="Heading1"/>
      </w:pPr>
      <w:r>
        <w:t xml:space="preserve">3. Replacing the Traffic Model</w:t>
      </w:r>
    </w:p>
    <w:p>
      <w:pPr>
        <w:pStyle w:val="Heading2"/>
      </w:pPr>
      <w:r>
        <w:t xml:space="preserve">3.1 Current Model and Its Problems</w:t>
      </w:r>
    </w:p>
    <w:p>
      <w:pPr>
        <w:spacing w:after="120"/>
      </w:pPr>
      <w:r>
        <w:t xml:space="preserve">The current mixed traffic of HTTP, HTTPS, Video (TCP), and VoIP (UDP) is suitable for general-purpose evaluation but does not reflect the actual characteristics of robot control traffic. Multi-robot communication at construction sites consists of three flows with different QoS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Traffic Type</w:t>
            </w:r>
          </w:p>
        </w:tc>
        <w:tc>
          <w:tcPr>
            <w:tcW w:type="dxa" w:w="234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Characteristics</w:t>
            </w:r>
          </w:p>
        </w:tc>
        <w:tc>
          <w:tcPr>
            <w:tcW w:type="dxa" w:w="234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Latency Requirement</w:t>
            </w:r>
          </w:p>
        </w:tc>
        <w:tc>
          <w:tcPr>
            <w:tcW w:type="dxa" w:w="234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Loss Tolerance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Control commands (Control)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Small (~1 KB), period 20–100 ms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50 ms (strict)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0% — even one lost packet is dangerous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Sensor data (Telemetry)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Medium (10–100 KB), 100–500 ms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200 ms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&lt; 5% allowed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Video stream (Video)</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Large (1–10 Mbps), continuous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500 ms (relaxed)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&lt; 10% allowed (buffering)</w:t>
            </w:r>
          </w:p>
        </w:tc>
      </w:tr>
    </w:tbl>
    <w:p/>
    <w:p>
      <w:pPr>
        <w:pStyle w:val="Heading2"/>
      </w:pPr>
      <w:r>
        <w:t xml:space="preserve">3.2 Improvement: Per-Flow QoS-Separated Modeling</w:t>
      </w:r>
    </w:p>
    <w:p>
      <w:pPr>
        <w:pStyle w:val="ListParagraph"/>
        <w:numPr>
          <w:ilvl w:val="0"/>
          <w:numId w:val="2"/>
        </w:numPr>
        <w:spacing w:after="60"/>
      </w:pPr>
      <w:r>
        <w:t xml:space="preserve">Implement control commands (small UDP packets, 50 ms period) using a combination of NS-3 OnOffApplication + UdpClient.</w:t>
      </w:r>
    </w:p>
    <w:p>
      <w:pPr>
        <w:pStyle w:val="ListParagraph"/>
        <w:numPr>
          <w:ilvl w:val="0"/>
          <w:numId w:val="2"/>
        </w:numPr>
        <w:spacing w:after="60"/>
      </w:pPr>
      <w:r>
        <w:t xml:space="preserve">Model sensor data as TCP-based periodic uploads (100 KB, 200 ms period).</w:t>
      </w:r>
    </w:p>
    <w:p>
      <w:pPr>
        <w:pStyle w:val="ListParagraph"/>
        <w:numPr>
          <w:ilvl w:val="0"/>
          <w:numId w:val="2"/>
        </w:numPr>
        <w:spacing w:after="60"/>
      </w:pPr>
      <w:r>
        <w:t xml:space="preserve">Keep the existing Video (TCP) for the video stream, but separate flow IDs to measure it independently.</w:t>
      </w:r>
    </w:p>
    <w:p>
      <w:pPr>
        <w:pStyle w:val="ListParagraph"/>
        <w:numPr>
          <w:ilvl w:val="0"/>
          <w:numId w:val="2"/>
        </w:numPr>
        <w:spacing w:after="60"/>
      </w:pPr>
      <w:r>
        <w:t xml:space="preserve">Apply per-flow DSCP marking in FlowMonitor to separate measurements.</w:t>
      </w:r>
    </w:p>
    <w:p>
      <w:pPr>
        <w:pStyle w:val="Heading2"/>
      </w:pPr>
      <w:r>
        <w:t xml:space="preserve">3.3 Extended Measurement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Additional Metric</w:t>
            </w:r>
          </w:p>
        </w:tc>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Meaning</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Control PDR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Control-packet loss rate before/after switching — the key metric directly tied to the 200 ms target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Control P99 latency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Worst-case latency, used as the criterion for a robot's safe-stop decision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Control-packet loss interval during switching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Confirms continuity of the control flow within ±1 s of a switching event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Per-flow throughput share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Checks whether the video stream is eating into control/sensor bandwidth</w:t>
            </w:r>
          </w:p>
        </w:tc>
      </w:tr>
    </w:tbl>
    <w:p/>
    <w:p>
      <w:pPr>
        <w:pStyle w:val="Heading2"/>
      </w:pPr>
      <w:r>
        <w:t xml:space="preserve">3.4 Expected Effects</w:t>
      </w:r>
    </w:p>
    <w:p>
      <w:pPr>
        <w:pStyle w:val="ListParagraph"/>
        <w:numPr>
          <w:ilvl w:val="0"/>
          <w:numId w:val="2"/>
        </w:numPr>
        <w:spacing w:after="60"/>
      </w:pPr>
      <w:r>
        <w:t xml:space="preserve">Practical metrics such as “Control PDR 99.X%, P99 latency X ms” can be presented instead of “average PDR 95%.”</w:t>
      </w:r>
    </w:p>
    <w:p>
      <w:pPr>
        <w:pStyle w:val="ListParagraph"/>
        <w:numPr>
          <w:ilvl w:val="0"/>
          <w:numId w:val="2"/>
        </w:numPr>
        <w:spacing w:after="60"/>
      </w:pPr>
      <w:r>
        <w:t xml:space="preserve">Checking for bandwidth conflicts between flows provides the basis for QoS settings during field validation.</w:t>
      </w:r>
    </w:p>
    <w:p>
      <w:pPr>
        <w:pStyle w:val="ListParagraph"/>
        <w:numPr>
          <w:ilvl w:val="0"/>
          <w:numId w:val="2"/>
        </w:numPr>
        <w:spacing w:after="60"/>
      </w:pPr>
      <w:r>
        <w:t xml:space="preserve">Identifying in advance whether control-command latency increases under video traffic surges reduces field-validation risk.</w:t>
      </w:r>
    </w:p>
    <w:p>
      <w:pPr>
        <w:pStyle w:val="Heading1"/>
      </w:pPr>
      <w:r>
        <w:t xml:space="preserve">4. Modeling WiFi Mesh Internal Handover</w:t>
      </w:r>
    </w:p>
    <w:p>
      <w:pPr>
        <w:pStyle w:val="Heading2"/>
      </w:pPr>
      <w:r>
        <w:t xml:space="preserve">4.1 Current Model and Its Problems</w:t>
      </w:r>
    </w:p>
    <w:p>
      <w:pPr>
        <w:spacing w:after="120"/>
      </w:pPr>
      <w:r>
        <w:t xml:space="preserve">In the current simulation, 4 APs are fixed in place, and 802.11s intra-mesh AP-to-AP switching (Intra-Mesh Handover) events are not explicitly modeled even when a STA crosses an AP coverage boundary.</w:t>
      </w:r>
    </w:p>
    <w:p>
      <w:pPr>
        <w:pStyle w:val="ListParagraph"/>
        <w:numPr>
          <w:ilvl w:val="0"/>
          <w:numId w:val="2"/>
        </w:numPr>
        <w:spacing w:after="60"/>
      </w:pPr>
      <w:r>
        <w:t xml:space="preserve">When a STA moves from AP-A to AP-B coverage, a momentary RSSI drop may falsely trigger cellular switching.</w:t>
      </w:r>
    </w:p>
    <w:p>
      <w:pPr>
        <w:pStyle w:val="ListParagraph"/>
        <w:numPr>
          <w:ilvl w:val="0"/>
          <w:numId w:val="2"/>
        </w:numPr>
        <w:spacing w:after="60"/>
      </w:pPr>
      <w:r>
        <w:t xml:space="preserve">In the field, a 0.1–0.5 s interruption is measured during Intra-Mesh HO, but the simulation risks misclassifying it as a cellular switch.</w:t>
      </w:r>
    </w:p>
    <w:p>
      <w:pPr>
        <w:pStyle w:val="ListParagraph"/>
        <w:numPr>
          <w:ilvl w:val="0"/>
          <w:numId w:val="2"/>
        </w:numPr>
        <w:spacing w:after="60"/>
      </w:pPr>
      <w:r>
        <w:t xml:space="preserve">WiFi internal handover latency and WiFi↔cellular switching latency become mixed, making performance analysis ambiguous.</w:t>
      </w:r>
    </w:p>
    <w:p>
      <w:pPr>
        <w:pStyle w:val="Heading2"/>
      </w:pPr>
      <w:r>
        <w:t xml:space="preserve">4.2 Improvements</w:t>
      </w:r>
    </w:p>
    <w:p>
      <w:pPr>
        <w:pStyle w:val="Heading3"/>
      </w:pPr>
      <w:r>
        <w:t xml:space="preserve">4.2.1 Explicit AP Coverage Boundaries and Boundary-Crossing Scenario Design</w:t>
      </w:r>
    </w:p>
    <w:p>
      <w:pPr>
        <w:pStyle w:val="ListParagraph"/>
        <w:numPr>
          <w:ilvl w:val="0"/>
          <w:numId w:val="2"/>
        </w:numPr>
        <w:spacing w:after="60"/>
      </w:pPr>
      <w:r>
        <w:t xml:space="preserve">Parameterize the coverage radius of the 4 APs and deliberately include scenarios where waypoint routes cross the boundaries.</w:t>
      </w:r>
    </w:p>
    <w:p>
      <w:pPr>
        <w:pStyle w:val="ListParagraph"/>
        <w:numPr>
          <w:ilvl w:val="0"/>
          <w:numId w:val="2"/>
        </w:numPr>
        <w:spacing w:after="60"/>
      </w:pPr>
      <w:r>
        <w:t xml:space="preserve">Record Intra-Mesh HO events separately in switch_log via NS-3 AssocRequest/DeAssoc callbacks.</w:t>
      </w:r>
    </w:p>
    <w:p>
      <w:pPr>
        <w:pStyle w:val="Heading3"/>
      </w:pPr>
      <w:r>
        <w:t xml:space="preserve">4.2.2 Establishing a Switching-Event Classification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Event Type</w:t>
            </w:r>
          </w:p>
        </w:tc>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Trigger Condition</w:t>
            </w:r>
          </w:p>
        </w:tc>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Log Field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Intra-Mesh HO</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 change within the same WiFi mesh; RSSI stays above the threshold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type=intra_mesh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WiFi → Cellular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RSSI &lt; threshold (-58 dBm); same condition as before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type=wifi_to_cell</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Cellular → WiFi</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RSSI recovery (≥ -55 dBm); same condition as before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type=cell_to_wifi</w:t>
            </w:r>
          </w:p>
        </w:tc>
      </w:tr>
    </w:tbl>
    <w:p/>
    <w:p>
      <w:pPr>
        <w:pStyle w:val="Heading3"/>
      </w:pPr>
      <w:r>
        <w:t xml:space="preserve">4.2.3 Review of RSSI Threshold Guard Logic</w:t>
      </w:r>
    </w:p>
    <w:p>
      <w:pPr>
        <w:pStyle w:val="ListParagraph"/>
        <w:numPr>
          <w:ilvl w:val="0"/>
          <w:numId w:val="2"/>
        </w:numPr>
        <w:spacing w:after="60"/>
      </w:pPr>
      <w:r>
        <w:t xml:space="preserve">Review applying a Guard Timer that delays the cellular switching trigger by 0.5 s when RSSI drops momentarily during an Intra-Mesh HO.</w:t>
      </w:r>
    </w:p>
    <w:p>
      <w:pPr>
        <w:pStyle w:val="ListParagraph"/>
        <w:numPr>
          <w:ilvl w:val="0"/>
          <w:numId w:val="2"/>
        </w:numPr>
        <w:spacing w:after="60"/>
      </w:pPr>
      <w:r>
        <w:t xml:space="preserve">Compare the false-switching frequency before and after applying the Guard Timer to derive the optimal parameter value.</w:t>
      </w:r>
    </w:p>
    <w:p>
      <w:pPr>
        <w:pStyle w:val="Heading2"/>
      </w:pPr>
      <w:r>
        <w:t xml:space="preserve">4.3 Expected Effects</w:t>
      </w:r>
    </w:p>
    <w:p>
      <w:pPr>
        <w:pStyle w:val="ListParagraph"/>
        <w:numPr>
          <w:ilvl w:val="0"/>
          <w:numId w:val="2"/>
        </w:numPr>
        <w:spacing w:after="60"/>
      </w:pPr>
      <w:r>
        <w:t xml:space="preserve">Quantifying the frequency of false cellular switches caused by Intra-Mesh HO → provides the basis for Guard Timer settings before field validation.</w:t>
      </w:r>
    </w:p>
    <w:p>
      <w:pPr>
        <w:pStyle w:val="ListParagraph"/>
        <w:numPr>
          <w:ilvl w:val="0"/>
          <w:numId w:val="2"/>
        </w:numPr>
        <w:spacing w:after="60"/>
      </w:pPr>
      <w:r>
        <w:t xml:space="preserve">Establishing the switching-event classification scheme allows the same criteria to be applied when analyzing Phase 2 field data.</w:t>
      </w:r>
    </w:p>
    <w:p>
      <w:pPr>
        <w:pStyle w:val="ListParagraph"/>
        <w:numPr>
          <w:ilvl w:val="0"/>
          <w:numId w:val="2"/>
        </w:numPr>
        <w:spacing w:after="60"/>
      </w:pPr>
      <w:r>
        <w:t xml:space="preserve">Provides a simulation-based comparison basis for AP placement optimization (adjusting coverage overlap).</w:t>
      </w:r>
    </w:p>
    <w:p>
      <w:pPr>
        <w:pStyle w:val="Heading1"/>
      </w:pPr>
      <w:r>
        <w:t xml:space="preserve">5. Statistical Reinforcement</w:t>
      </w:r>
    </w:p>
    <w:p>
      <w:pPr>
        <w:pStyle w:val="Heading2"/>
      </w:pPr>
      <w:r>
        <w:t xml:space="preserve">5.1 Current Limitations</w:t>
      </w:r>
    </w:p>
    <w:p>
      <w:pPr>
        <w:spacing w:after="120"/>
      </w:pPr>
      <w:r>
        <w:t xml:space="preserve">Currently only 3 RNG seeds (6, 7, 8) are used. With so few seeds the confidence intervals become excessively wide, making it difficult to claim that the performance difference between WiFi+LTE and WiFi+5G (PDR 0.46 pp, latency 1.8 ms) is statistically significant. The report itself carries the caveat that “small differences between modes may lie within the range of stochastic variation,” which limits how the report can be used.</w:t>
      </w:r>
    </w:p>
    <w:p>
      <w:pPr>
        <w:pStyle w:val="Heading2"/>
      </w:pPr>
      <w:r>
        <w:t xml:space="preserve">5.2 Improvements</w:t>
      </w:r>
    </w:p>
    <w:p>
      <w:pPr>
        <w:pStyle w:val="Heading3"/>
      </w:pPr>
      <w:r>
        <w:t xml:space="preserve">5.2.1 Increasing the Number of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Category</w:t>
            </w:r>
          </w:p>
        </w:tc>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Details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Across all scenarios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Apply 10 seeds (1–10) → number of scenarios: 192 × (10/3) = 640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Key scenarios first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If full expansion is difficult, apply 10 seeds first to STA 10/20 and payload 1 MB/2 MB cases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Target confidence level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Choose the seed count so that the 95% confidence-interval width of key KPIs is within ±10% of the mean</w:t>
            </w:r>
          </w:p>
        </w:tc>
      </w:tr>
    </w:tbl>
    <w:p/>
    <w:p>
      <w:pPr>
        <w:pStyle w:val="Heading3"/>
      </w:pPr>
      <w:r>
        <w:t xml:space="preserve">5.2.2 Standardizing Confidence-Interval Calculation</w:t>
      </w:r>
    </w:p>
    <w:p>
      <w:pPr>
        <w:pStyle w:val="ListParagraph"/>
        <w:numPr>
          <w:ilvl w:val="0"/>
          <w:numId w:val="2"/>
        </w:numPr>
        <w:spacing w:after="60"/>
      </w:pPr>
      <w:r>
        <w:t xml:space="preserve">Before: simple standard error of scenario-level observations (SE = σ / √n).</w:t>
      </w:r>
    </w:p>
    <w:p>
      <w:pPr>
        <w:pStyle w:val="ListParagraph"/>
        <w:numPr>
          <w:ilvl w:val="0"/>
          <w:numId w:val="2"/>
        </w:numPr>
        <w:spacing w:after="60"/>
      </w:pPr>
      <w:r>
        <w:t xml:space="preserve">After: additionally compute Bootstrap-resampled (1,000 iterations) 95% CIs — better suited to switching latency, which is non-normally distributed.</w:t>
      </w:r>
    </w:p>
    <w:p>
      <w:pPr>
        <w:pStyle w:val="ListParagraph"/>
        <w:numPr>
          <w:ilvl w:val="0"/>
          <w:numId w:val="2"/>
        </w:numPr>
        <w:spacing w:after="60"/>
      </w:pPr>
      <w:r>
        <w:t xml:space="preserve">Consistently report the point estimate + 95% CI for each KPI in the final report.</w:t>
      </w:r>
    </w:p>
    <w:p>
      <w:pPr>
        <w:pStyle w:val="Heading3"/>
      </w:pPr>
      <w:r>
        <w:t xml:space="preserve">5.2.3 Introducing Statistical Tests</w:t>
      </w:r>
    </w:p>
    <w:p>
      <w:pPr>
        <w:pStyle w:val="ListParagraph"/>
        <w:numPr>
          <w:ilvl w:val="0"/>
          <w:numId w:val="2"/>
        </w:numPr>
        <w:spacing w:after="60"/>
      </w:pPr>
      <w:r>
        <w:t xml:space="preserve">Differences in PDR, latency, and throughput between WiFi+LTE and WiFi+5G: apply the non-parametric Mann-Whitney U test.</w:t>
      </w:r>
    </w:p>
    <w:p>
      <w:pPr>
        <w:pStyle w:val="ListParagraph"/>
        <w:numPr>
          <w:ilvl w:val="0"/>
          <w:numId w:val="2"/>
        </w:numPr>
        <w:spacing w:after="60"/>
      </w:pPr>
      <w:r>
        <w:t xml:space="preserve">Trend with increasing STA count: use the Kruskal-Wallis test to confirm the significance of monotonic increase/decrease.</w:t>
      </w:r>
    </w:p>
    <w:p>
      <w:pPr>
        <w:pStyle w:val="ListParagraph"/>
        <w:numPr>
          <w:ilvl w:val="0"/>
          <w:numId w:val="2"/>
        </w:numPr>
        <w:spacing w:after="60"/>
      </w:pPr>
      <w:r>
        <w:t xml:space="preserve">p-value criterion: define p &lt; 0.05 as a significant difference and state it in the tables.</w:t>
      </w:r>
    </w:p>
    <w:p>
      <w:pPr>
        <w:pStyle w:val="Heading2"/>
      </w:pPr>
      <w:r>
        <w:t xml:space="preserve">5.3 Expected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Current (3 seeds)</w:t>
            </w:r>
          </w:p>
        </w:tc>
        <w:tc>
          <w:tcPr>
            <w:tcW w:type="dxa" w:w="46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After (10 seeds + tests)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Descriptive statistics at the level of “there appears to be a difference”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Significant differences can be claimed at the p &lt; 0.05 level</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Wide confidence intervals make pre-validation baseline values uncertain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Narrower CIs allow the verification threshold for the 200 ms target to be set clearly</w:t>
            </w:r>
          </w:p>
        </w:tc>
      </w:tr>
    </w:tbl>
    <w:p>
      <w:pPr>
        <w:pStyle w:val="Heading1"/>
      </w:pPr>
      <w:r>
        <w:t xml:space="preserve">6. Overall Schedule of Enhancement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Enhancement Item</w:t>
            </w:r>
          </w:p>
        </w:tc>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Target Completion</w:t>
            </w:r>
          </w:p>
        </w:tc>
        <w:tc>
          <w:tcPr>
            <w:tcW w:type="dxa" w:w="3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Key Deliverables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Realistic mobility model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Jun 2026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Waypoint code, 3D visualization, animation, comparison report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Traffic model replacement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Jul 2026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Per-flow measurement scripts, Control PDR &amp; P99 analysis report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WiFi mesh internal handover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Aug 2026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Event classification log, Guard Timer parameter review report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Statistical reinforcement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Sep 2026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10-seed result CSVs, final report including statistical tests</w:t>
            </w:r>
          </w:p>
        </w:tc>
      </w:tr>
    </w:tbl>
    <w:p>
      <w:pPr>
        <w:spacing w:after="120"/>
      </w:pPr>
      <w:r>
        <w:t xml:space="preserve">※ The enhancement items are carried out in parallel during the Phase 2 field-validation preparation period (Apr–Aug 2026), after completion of Phase 1 (through Mar 2026) of the existing 2026 research plan.</w:t>
      </w:r>
    </w:p>
    <w:p>
      <w:pPr>
        <w:pStyle w:val="Heading1"/>
      </w:pPr>
      <w:r>
        <w:t xml:space="preserve">7. Monthly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360"/>
        <w:gridCol w:w="3000"/>
      </w:tblGrid>
      <w:tr>
        <w:trPr>
          <w:tblHeader/>
        </w:trPr>
        <w:tc>
          <w:tcPr>
            <w:tcW w:type="dxa" w:w="9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Month</w:t>
            </w:r>
          </w:p>
        </w:tc>
        <w:tc>
          <w:tcPr>
            <w:tcW w:type="dxa" w:w="11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Weeks</w:t>
            </w:r>
          </w:p>
        </w:tc>
        <w:tc>
          <w:tcPr>
            <w:tcW w:type="dxa" w:w="43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Main Tasks</w:t>
            </w:r>
          </w:p>
        </w:tc>
        <w:tc>
          <w:tcPr>
            <w:tcW w:type="dxa" w:w="30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Deliverables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June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Weeks 2–4</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Implement Waypoint mobility model code; produce 3D visualization and animation (NetAnim MP4, 3D trajectory plot, RSSI heatmap, switching timeline GIF); write Waypoint vs. Gauss-Markov comparison analysis report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waypoint_mobility.cc, 3 scenario JSON files, animation.mp4, trajectory_3d.png, rssi_heatmap.png, switching_timeline.gif, comparison report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July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Weeks 1–4</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Replace traffic model — separate control/sensor/video into 3 flows, apply DSCP marking, modify the per-flow FlowMonitor measurement pipeline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traffic_qos.cc, per-flow measurement scripts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August</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Weeks 1–4</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Model WiFi mesh internal handover — specify AP coverage boundaries, log Intra-Mesh HO events, implement Guard Timer and run comparison experiments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intra_mesh_ho.cc, switch_log_v2.csv, Guard Timer review report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September</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Weeks 1–2</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Run expanded 10-seed simulations — apply to key scenarios first, set up parallel-execution automation scripts, and collect large-scale results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run_seeds.sh, 640 per-seed result CSVs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September</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Weeks 3–4</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Statistical analysis — Bootstrap CIs, Mann-Whitney U, Kruskal-Wallis tests, and write the integrated final comparison report covering all 4 items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stats_analysis.py, final enhancement report (PDF)</w:t>
            </w:r>
          </w:p>
        </w:tc>
      </w:tr>
    </w:tbl>
    <w:p>
      <w:pPr>
        <w:pStyle w:val="Heading1"/>
      </w:pPr>
      <w:r>
        <w:t xml:space="preserve">8. Summary of 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160"/>
        <w:gridCol w:w="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Category</w:t>
            </w:r>
          </w:p>
        </w:tc>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Item</w:t>
            </w:r>
          </w:p>
        </w:tc>
        <w:tc>
          <w:tcPr>
            <w:tcW w:type="dxa" w:w="51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Deliverable</w:t>
            </w:r>
          </w:p>
        </w:tc>
        <w:tc>
          <w:tcPr>
            <w:tcW w:type="dxa" w:w="9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0"/>
                <w:szCs w:val="20"/>
              </w:rPr>
              <w:t xml:space="preserve">Format</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Mobility model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Simulation code</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waypoint_mobility.cc — NS-3 implementation source for the Waypoint mobility model</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.cc</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3D visualization</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trajectory_3d.png — matplotlib 3D node trajectory plot (color-coded by robot type)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.png</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Node movement animation</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animation.mp4 — produced with AI assistance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.mp4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RSSI heatmap</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rssi_heatmap.png — 2D heatmap of average RSSI per spatial grid cell (showing WiFi dead zones)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.png</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Switching timeline GIF</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switching_timeline.gif — GIF animation of switching locations per 20-second window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.gif</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Comparison analysis report</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mobility_comparison_report.pdf — Gauss-Markov vs. Waypoint comparison of switching frequency and RSSI patterns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.pdf</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Traffic model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Simulation code</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traffic_qos.cc — NS-3 implementation source for the 3-flow separated traffic model</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.cc</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Measurement script</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flow_metrics.py — Python script analyzing per-flow PDR, latency, P99, and throughput share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Analysis report</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traffic_qos_report.pdf — results for Control PDR, P99 latency, and per-flow bandwidth share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.pdf</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WiFi internal HO</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Simulation code</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intra_mesh_ho.cc — source implementing Intra-Mesh HO event logging and the Guard Timer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.cc</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Switching log v2</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switch_log_v2.csv — with added type field (intra_mesh / wifi_to_cell / cell_to_wifi)</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.csv</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Parameter review report</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guard_timer_report.pdf — comparison of false-trigger frequency before/after the Guard Timer and derivation of the optimal value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.pdf</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Statistical reinforcement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Execution automation</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run_seeds.sh — shell script for parallel 10-seed simulation runs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.sh</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Statistical analysis code</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stats_analysis.py — script for Bootstrap CIs, Mann-Whitney U, and Kruskal-Wallis tests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Final integration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Final report</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Enhancement_Final_Report.pdf — Phase 1 enhancement completion report integrating the results of all 4 items, including statistical tests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0"/>
                <w:szCs w:val="20"/>
              </w:rPr>
              <w:t xml:space="preserve">.pdf</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2026-06-11T02:46:46.557Z</dcterms:created>
  <dcterms:modified xsi:type="dcterms:W3CDTF">2026-06-11T02:46:46.557Z</dcterms:modified>
</cp:coreProperties>
</file>

<file path=docProps/custom.xml><?xml version="1.0" encoding="utf-8"?>
<Properties xmlns="http://schemas.openxmlformats.org/officeDocument/2006/custom-properties" xmlns:vt="http://schemas.openxmlformats.org/officeDocument/2006/docPropsVTypes"/>
</file>