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Security Policy</w:t>
      </w:r>
    </w:p>
    <w:p>
      <w:r>
        <w:t>All customer data shall be encrypted at rest using AES-256.</w:t>
      </w:r>
    </w:p>
    <w:p>
      <w:r>
        <w:t>All data in transit shall be protected using TLS 1.2 or higher.</w:t>
      </w:r>
    </w:p>
    <w:p>
      <w:r>
        <w:t>Access to data shall be governed by role-based access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