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Policy</w:t>
      </w:r>
    </w:p>
    <w:p>
      <w:r>
        <w:t>The organization shall maintain a formal incident response plan.</w:t>
      </w:r>
    </w:p>
    <w:p>
      <w:r>
        <w:t>Security incidents must be reported to customers within 72 hours.</w:t>
      </w:r>
    </w:p>
    <w:p>
      <w:r>
        <w:t>Post-incident reviews shall be conducted for all critical incidents.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