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TRACTO  /  ARCHITECTURE-ALIGNED SPECIFICATION</w:t>
      </w:r>
    </w:p>
    <w:p>
      <w:pPr>
        <w:pStyle w:val="Title"/>
      </w:pPr>
      <w:r>
        <w:t>Common Execution &amp; Orchestrator Interface Contract</w:t>
      </w:r>
    </w:p>
    <w:p>
      <w:pPr>
        <w:pStyle w:val="Subtitle"/>
      </w:pPr>
      <w:r>
        <w:t>Shared specification for independently delivered Desktop / Browser / Terminal runtimes</w:t>
      </w:r>
    </w:p>
    <w:p>
      <w:r>
        <w:t>PATCH v1.0.1   |   22 October 2026   |   Stage 1 contract corrections; architecture unchanged</w:t>
      </w:r>
    </w:p>
    <w:p>
      <w:pPr>
        <w:pStyle w:val="Caption"/>
      </w:pPr>
      <w:r>
        <w:t>Status: Functional baseline; architecture v1.2A is frozen and unchanged. Certification, PoCs and implementation remain pending.</w:t>
      </w:r>
    </w:p>
    <w:p>
      <w:pPr>
        <w:pStyle w:val="Heading1"/>
      </w:pPr>
      <w:r>
        <w:t>1. Why this document exists</w:t>
      </w:r>
    </w:p>
    <w:p>
      <w:r>
        <w:t>This contract defines the smallest set of rules all three .NET Runtime applications, the Designer publishing flow and the .NET Linux-container Orchestrator must share. It deliberately does not define UIA selectors, Playwright locators, shell commands, platform-specific failure recovery, or shared implementation libraries. Those belong to their respective runtime specifications.</w:t>
      </w:r>
    </w:p>
    <w:tbl>
      <w:tblPr>
        <w:tblStyle w:val="LightShading-Accent1"/>
        <w:tblW w:type="auto" w:w="0"/>
        <w:jc w:val="center"/>
        <w:tblLook w:firstColumn="1" w:firstRow="1" w:lastColumn="0" w:lastRow="0" w:noHBand="0" w:noVBand="1" w:val="04A0"/>
      </w:tblPr>
      <w:tblGrid>
        <w:gridCol w:w="4925"/>
        <w:gridCol w:w="4925"/>
      </w:tblGrid>
      <w:tr>
        <w:trPr>
          <w:tblHeader w:val="true"/>
        </w:trPr>
        <w:tc>
          <w:tcPr>
            <w:tcW w:type="dxa" w:w="4925"/>
            <w:shd w:fill="EAF3F6"/>
          </w:tcPr>
          <w:p>
            <w:r>
              <w:t>Normative common items</w:t>
            </w:r>
          </w:p>
        </w:tc>
        <w:tc>
          <w:tcPr>
            <w:tcW w:type="dxa" w:w="4925"/>
            <w:shd w:fill="EAF3F6"/>
          </w:tcPr>
          <w:p>
            <w:r>
              <w:t>Independent per runtime</w:t>
            </w:r>
          </w:p>
        </w:tc>
      </w:tr>
      <w:tr>
        <w:tc>
          <w:tcPr>
            <w:tcW w:type="dxa" w:w="4925"/>
            <w:vAlign w:val="center"/>
          </w:tcPr>
          <w:p>
            <w:r>
              <w:rPr>
                <w:b/>
              </w:rPr>
              <w:t>Outer script metadata; version compatibility; run, step and attempt identity</w:t>
            </w:r>
          </w:p>
        </w:tc>
        <w:tc>
          <w:tcPr>
            <w:tcW w:type="dxa" w:w="4925"/>
            <w:vAlign w:val="center"/>
          </w:tcPr>
          <w:p>
            <w:r>
              <w:t>Desktop UIA/Java targets; Browser DOM/Playwright locators; Terminal command targets</w:t>
            </w:r>
          </w:p>
        </w:tc>
      </w:tr>
      <w:tr>
        <w:tc>
          <w:tcPr>
            <w:tcW w:type="dxa" w:w="4925"/>
            <w:vAlign w:val="center"/>
          </w:tcPr>
          <w:p>
            <w:r>
              <w:t>Technical-only condition grammar and custom business-service outcome categories</w:t>
            </w:r>
          </w:p>
        </w:tc>
        <w:tc>
          <w:tcPr>
            <w:tcW w:type="dxa" w:w="4925"/>
            <w:vAlign w:val="center"/>
          </w:tcPr>
          <w:p>
            <w:r>
              <w:t>Control family, browser feature and command action catalogues</w:t>
            </w:r>
          </w:p>
        </w:tc>
      </w:tr>
      <w:tr>
        <w:tc>
          <w:tcPr>
            <w:tcW w:type="dxa" w:w="4925"/>
            <w:vAlign w:val="center"/>
          </w:tcPr>
          <w:p>
            <w:r>
              <w:rPr>
                <w:b/>
              </w:rPr>
              <w:t>Run and step status envelope and error categories</w:t>
            </w:r>
          </w:p>
        </w:tc>
        <w:tc>
          <w:tcPr>
            <w:tcW w:type="dxa" w:w="4925"/>
            <w:vAlign w:val="center"/>
          </w:tcPr>
          <w:p>
            <w:r>
              <w:t>Technology-specific exception details and evidence capture</w:t>
            </w:r>
          </w:p>
        </w:tc>
      </w:tr>
      <w:tr>
        <w:tc>
          <w:tcPr>
            <w:tcW w:type="dxa" w:w="4925"/>
            <w:vAlign w:val="center"/>
          </w:tcPr>
          <w:p>
            <w:r>
              <w:rPr>
                <w:b/>
              </w:rPr>
              <w:t>Worker pull, lease, heartbeat, reconciliation and cancel message shapes</w:t>
            </w:r>
          </w:p>
        </w:tc>
        <w:tc>
          <w:tcPr>
            <w:tcW w:type="dxa" w:w="4925"/>
            <w:vAlign w:val="center"/>
          </w:tcPr>
          <w:p>
            <w:r>
              <w:t>Worker process lifecycle, session allocation and input cleanup</w:t>
            </w:r>
          </w:p>
        </w:tc>
      </w:tr>
      <w:tr>
        <w:tc>
          <w:tcPr>
            <w:tcW w:type="dxa" w:w="4925"/>
            <w:vAlign w:val="center"/>
          </w:tcPr>
          <w:p>
            <w:r>
              <w:rPr>
                <w:b/>
              </w:rPr>
              <w:t>secretRef semantics, authentication, redaction and script trust</w:t>
            </w:r>
          </w:p>
        </w:tc>
        <w:tc>
          <w:tcPr>
            <w:tcW w:type="dxa" w:w="4925"/>
            <w:vAlign w:val="center"/>
          </w:tcPr>
          <w:p>
            <w:r>
              <w:t>Physical secret provider and authorized execution context</w:t>
            </w:r>
          </w:p>
        </w:tc>
      </w:tr>
    </w:tbl>
    <w:p/>
    <w:p>
      <w:pPr>
        <w:pStyle w:val="Heading1"/>
      </w:pPr>
      <w:r>
        <w:t>2. Normative behavioral boundaries</w:t>
      </w:r>
    </w:p>
    <w:p>
      <w:pPr>
        <w:pStyle w:val="ListBullet"/>
      </w:pPr>
      <w:r>
        <w:t>Tracto contains exactly three logical components: Designer, Runtime family and Orchestrator. Business services are separate external systems.</w:t>
      </w:r>
    </w:p>
    <w:p>
      <w:pPr>
        <w:pStyle w:val="ListBullet"/>
      </w:pPr>
      <w:r>
        <w:t>One published v1 script targets one runtimeType: desktop, browser or terminal. Mixed-engine scripts are rejected at validation and split into bounded Orchestrator-coordinated runs.</w:t>
      </w:r>
    </w:p>
    <w:p>
      <w:pPr>
        <w:pStyle w:val="ListBullet"/>
      </w:pPr>
      <w:r>
        <w:t>Every Runtime may perform only authorized UI/CLI interactions, pass-through data movement and outbound service.invoke calls to registered independent custom business services. Direct third-party business API or database integration is forbidden. Business decisions, calculations, validation and other system integrations belong to independent custom services.</w:t>
      </w:r>
    </w:p>
    <w:p>
      <w:pPr>
        <w:pStyle w:val="ListBullet"/>
      </w:pPr>
      <w:r>
        <w:t>No action executes generated C#, JavaScript, Python, arithmetic/relational business expressions or dynamically selected script references inside the Runtime.</w:t>
      </w:r>
    </w:p>
    <w:p>
      <w:pPr>
        <w:pStyle w:val="ListBullet"/>
      </w:pPr>
      <w:r>
        <w:t>Published execution is deterministic and needs no LLM; the Designer may use AI only during authoring.</w:t>
      </w:r>
    </w:p>
    <w:p>
      <w:pPr>
        <w:pStyle w:val="ListBullet"/>
      </w:pPr>
      <w:r>
        <w:t>One concurrent run per registered worker. If multiple workers share an interactive desktop session, only one may own foreground input at a time.</w:t>
      </w:r>
    </w:p>
    <w:p>
      <w:pPr>
        <w:pStyle w:val="Heading1"/>
      </w:pPr>
      <w:r>
        <w:t>3. Common script envelope and versioning</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Field</w:t>
            </w:r>
          </w:p>
        </w:tc>
        <w:tc>
          <w:tcPr>
            <w:tcW w:type="dxa" w:w="3283"/>
            <w:shd w:fill="EAF3F6"/>
          </w:tcPr>
          <w:p>
            <w:r>
              <w:t>Required?</w:t>
            </w:r>
          </w:p>
        </w:tc>
        <w:tc>
          <w:tcPr>
            <w:tcW w:type="dxa" w:w="3283"/>
            <w:shd w:fill="EAF3F6"/>
          </w:tcPr>
          <w:p>
            <w:r>
              <w:t>Definition / validation</w:t>
            </w:r>
          </w:p>
        </w:tc>
      </w:tr>
      <w:tr>
        <w:tc>
          <w:tcPr>
            <w:tcW w:type="dxa" w:w="3283"/>
            <w:vAlign w:val="center"/>
          </w:tcPr>
          <w:p>
            <w:r>
              <w:rPr>
                <w:b/>
              </w:rPr>
              <w:t>schemaVersion</w:t>
            </w:r>
          </w:p>
        </w:tc>
        <w:tc>
          <w:tcPr>
            <w:tcW w:type="dxa" w:w="3283"/>
            <w:vAlign w:val="center"/>
          </w:tcPr>
          <w:p>
            <w:r>
              <w:t>Yes</w:t>
            </w:r>
          </w:p>
        </w:tc>
        <w:tc>
          <w:tcPr>
            <w:tcW w:type="dxa" w:w="3283"/>
            <w:vAlign w:val="center"/>
          </w:tcPr>
          <w:p>
            <w:r>
              <w:t>Major.minor; current and immediately previous major supported by certified runtime; unknown major rejected.</w:t>
            </w:r>
          </w:p>
        </w:tc>
      </w:tr>
      <w:tr>
        <w:tc>
          <w:tcPr>
            <w:tcW w:type="dxa" w:w="3283"/>
            <w:vAlign w:val="center"/>
          </w:tcPr>
          <w:p>
            <w:r>
              <w:rPr>
                <w:b/>
              </w:rPr>
              <w:t>automationId</w:t>
            </w:r>
          </w:p>
        </w:tc>
        <w:tc>
          <w:tcPr>
            <w:tcW w:type="dxa" w:w="3283"/>
            <w:vAlign w:val="center"/>
          </w:tcPr>
          <w:p>
            <w:r>
              <w:t>Yes</w:t>
            </w:r>
          </w:p>
        </w:tc>
        <w:tc>
          <w:tcPr>
            <w:tcW w:type="dxa" w:w="3283"/>
            <w:vAlign w:val="center"/>
          </w:tcPr>
          <w:p>
            <w:r>
              <w:t>Stable opaque identifier, unique in registry; not a filename or executable path.</w:t>
            </w:r>
          </w:p>
        </w:tc>
      </w:tr>
      <w:tr>
        <w:tc>
          <w:tcPr>
            <w:tcW w:type="dxa" w:w="3283"/>
            <w:vAlign w:val="center"/>
          </w:tcPr>
          <w:p>
            <w:r>
              <w:rPr>
                <w:b/>
              </w:rPr>
              <w:t>version</w:t>
            </w:r>
          </w:p>
        </w:tc>
        <w:tc>
          <w:tcPr>
            <w:tcW w:type="dxa" w:w="3283"/>
            <w:vAlign w:val="center"/>
          </w:tcPr>
          <w:p>
            <w:r>
              <w:t>Yes</w:t>
            </w:r>
          </w:p>
        </w:tc>
        <w:tc>
          <w:tcPr>
            <w:tcW w:type="dxa" w:w="3283"/>
            <w:vAlign w:val="center"/>
          </w:tcPr>
          <w:p>
            <w:r>
              <w:t>Immutable publication version and signed artifact digest pin execution.</w:t>
            </w:r>
          </w:p>
        </w:tc>
      </w:tr>
      <w:tr>
        <w:tc>
          <w:tcPr>
            <w:tcW w:type="dxa" w:w="3283"/>
            <w:vAlign w:val="center"/>
          </w:tcPr>
          <w:p>
            <w:r>
              <w:rPr>
                <w:b/>
              </w:rPr>
              <w:t>runtimeType</w:t>
            </w:r>
          </w:p>
        </w:tc>
        <w:tc>
          <w:tcPr>
            <w:tcW w:type="dxa" w:w="3283"/>
            <w:vAlign w:val="center"/>
          </w:tcPr>
          <w:p>
            <w:r>
              <w:t>Yes</w:t>
            </w:r>
          </w:p>
        </w:tc>
        <w:tc>
          <w:tcPr>
            <w:tcW w:type="dxa" w:w="3283"/>
            <w:vAlign w:val="center"/>
          </w:tcPr>
          <w:p>
            <w:r>
              <w:t>Enum: desktop | browser | terminal. Must match worker capability; fixed for entire script.</w:t>
            </w:r>
          </w:p>
        </w:tc>
      </w:tr>
      <w:tr>
        <w:tc>
          <w:tcPr>
            <w:tcW w:type="dxa" w:w="3283"/>
            <w:vAlign w:val="center"/>
          </w:tcPr>
          <w:p>
            <w:r>
              <w:rPr>
                <w:b/>
              </w:rPr>
              <w:t>inputs</w:t>
            </w:r>
          </w:p>
        </w:tc>
        <w:tc>
          <w:tcPr>
            <w:tcW w:type="dxa" w:w="3283"/>
            <w:vAlign w:val="center"/>
          </w:tcPr>
          <w:p>
            <w:r>
              <w:t>Yes</w:t>
            </w:r>
          </w:p>
        </w:tc>
        <w:tc>
          <w:tcPr>
            <w:tcW w:type="dxa" w:w="3283"/>
            <w:vAlign w:val="center"/>
          </w:tcPr>
          <w:p>
            <w:r>
              <w:t>Typed declarations with required/default constraints; no embedded cleartext secrets.</w:t>
            </w:r>
          </w:p>
        </w:tc>
      </w:tr>
      <w:tr>
        <w:tc>
          <w:tcPr>
            <w:tcW w:type="dxa" w:w="3283"/>
            <w:vAlign w:val="center"/>
          </w:tcPr>
          <w:p>
            <w:r>
              <w:rPr>
                <w:b/>
              </w:rPr>
              <w:t>outputs</w:t>
            </w:r>
          </w:p>
        </w:tc>
        <w:tc>
          <w:tcPr>
            <w:tcW w:type="dxa" w:w="3283"/>
            <w:vAlign w:val="center"/>
          </w:tcPr>
          <w:p>
            <w:r>
              <w:t>Yes</w:t>
            </w:r>
          </w:p>
        </w:tc>
        <w:tc>
          <w:tcPr>
            <w:tcW w:type="dxa" w:w="3283"/>
            <w:vAlign w:val="center"/>
          </w:tcPr>
          <w:p>
            <w:r>
              <w:t>Typed declarations and an explicit approved evidence/telemetry classification for each output. Classification must be recognized by the deployment policy; unknown/unclassified outputs are rejected. Plaintext secrets are prohibited.</w:t>
            </w:r>
          </w:p>
        </w:tc>
      </w:tr>
      <w:tr>
        <w:tc>
          <w:tcPr>
            <w:tcW w:type="dxa" w:w="3283"/>
            <w:vAlign w:val="center"/>
          </w:tcPr>
          <w:p>
            <w:r>
              <w:rPr>
                <w:b/>
              </w:rPr>
              <w:t>steps</w:t>
            </w:r>
          </w:p>
        </w:tc>
        <w:tc>
          <w:tcPr>
            <w:tcW w:type="dxa" w:w="3283"/>
            <w:vAlign w:val="center"/>
          </w:tcPr>
          <w:p>
            <w:r>
              <w:t>Yes</w:t>
            </w:r>
          </w:p>
        </w:tc>
        <w:tc>
          <w:tcPr>
            <w:tcW w:type="dxa" w:w="3283"/>
            <w:vAlign w:val="center"/>
          </w:tcPr>
          <w:p>
            <w:r>
              <w:t>Ordered array of typed steps; step IDs unique within automation.</w:t>
            </w:r>
          </w:p>
        </w:tc>
      </w:tr>
      <w:tr>
        <w:tc>
          <w:tcPr>
            <w:tcW w:type="dxa" w:w="3283"/>
            <w:vAlign w:val="center"/>
          </w:tcPr>
          <w:p>
            <w:r>
              <w:rPr>
                <w:b/>
              </w:rPr>
              <w:t>policyRefs</w:t>
            </w:r>
          </w:p>
        </w:tc>
        <w:tc>
          <w:tcPr>
            <w:tcW w:type="dxa" w:w="3283"/>
            <w:vAlign w:val="center"/>
          </w:tcPr>
          <w:p>
            <w:r>
              <w:t>Yes</w:t>
            </w:r>
          </w:p>
        </w:tc>
        <w:tc>
          <w:tcPr>
            <w:tcW w:type="dxa" w:w="3283"/>
            <w:vAlign w:val="center"/>
          </w:tcPr>
          <w:p>
            <w:r>
              <w:t>Approved runtime policy refs, endpoint and command policy refs; resolved at deployment.</w:t>
            </w:r>
          </w:p>
        </w:tc>
      </w:tr>
      <w:tr>
        <w:tc>
          <w:tcPr>
            <w:tcW w:type="dxa" w:w="3283"/>
            <w:vAlign w:val="center"/>
          </w:tcPr>
          <w:p>
            <w:r>
              <w:rPr>
                <w:b/>
              </w:rPr>
              <w:t>metadata</w:t>
            </w:r>
          </w:p>
        </w:tc>
        <w:tc>
          <w:tcPr>
            <w:tcW w:type="dxa" w:w="3283"/>
            <w:vAlign w:val="center"/>
          </w:tcPr>
          <w:p>
            <w:r>
              <w:t>Optional</w:t>
            </w:r>
          </w:p>
        </w:tc>
        <w:tc>
          <w:tcPr>
            <w:tcW w:type="dxa" w:w="3283"/>
            <w:vAlign w:val="center"/>
          </w:tcPr>
          <w:p>
            <w:r>
              <w:t>Human-readable labels, description, publisher metadata; not executable.</w:t>
            </w:r>
          </w:p>
        </w:tc>
      </w:tr>
      <w:tr>
        <w:tc>
          <w:tcPr>
            <w:tcW w:type="dxa" w:w="3283"/>
            <w:vAlign w:val="center"/>
          </w:tcPr>
          <w:p>
            <w:r>
              <w:rPr>
                <w:b/>
              </w:rPr>
              <w:t>artifactHash / signer</w:t>
            </w:r>
          </w:p>
        </w:tc>
        <w:tc>
          <w:tcPr>
            <w:tcW w:type="dxa" w:w="3283"/>
            <w:vAlign w:val="center"/>
          </w:tcPr>
          <w:p>
            <w:r>
              <w:t>At publication</w:t>
            </w:r>
          </w:p>
        </w:tc>
        <w:tc>
          <w:tcPr>
            <w:tcW w:type="dxa" w:w="3283"/>
            <w:vAlign w:val="center"/>
          </w:tcPr>
          <w:p>
            <w:r>
              <w:t>Verified by registry/worker outside mutable script content; tampering fails verification.</w:t>
            </w:r>
          </w:p>
        </w:tc>
      </w:tr>
      <w:tr>
        <w:tc>
          <w:tcPr>
            <w:tcW w:type="dxa" w:w="3283"/>
          </w:tcPr>
          <w:p>
            <w:r>
              <w:t>targets</w:t>
            </w:r>
          </w:p>
        </w:tc>
        <w:tc>
          <w:tcPr>
            <w:tcW w:type="dxa" w:w="3283"/>
          </w:tcPr>
          <w:p>
            <w:r>
              <w:t>Optional</w:t>
            </w:r>
          </w:p>
        </w:tc>
        <w:tc>
          <w:tcPr>
            <w:tcW w:type="dxa" w:w="3283"/>
          </w:tcPr>
          <w:p>
            <w:r>
              <w:t>Map of named opaque runtime-specific target definitions; must resolve within this artifact; Orchestrator does not parse contents.</w:t>
            </w:r>
          </w:p>
        </w:tc>
      </w:tr>
    </w:tbl>
    <w:p/>
    <w:tbl>
      <w:tblPr>
        <w:tblW w:type="auto" w:w="0"/>
        <w:tblLayout w:type="fixed"/>
        <w:tblLook w:firstColumn="1" w:firstRow="1" w:lastColumn="0" w:lastRow="0" w:noHBand="0" w:noVBand="1" w:val="04A0"/>
      </w:tblPr>
      <w:tblGrid>
        <w:gridCol w:w="9850"/>
      </w:tblGrid>
      <w:tr>
        <w:tc>
          <w:tcPr>
            <w:tcW w:type="dxa" w:w="9850"/>
            <w:shd w:fill="EFF4F6"/>
          </w:tcPr>
          <w:p>
            <w:r>
              <w:rPr>
                <w:rFonts w:ascii="Consolas" w:hAnsi="Consolas"/>
                <w:sz w:val="16"/>
              </w:rPr>
              <w:t>{</w:t>
              <w:br/>
              <w:t xml:space="preserve">  "schemaVersion": "1.0", "automationId": "sample-automation",</w:t>
              <w:br/>
              <w:t xml:space="preserve">  "version": "1.0.0", "runtimeType": "desktop",</w:t>
              <w:br/>
              <w:t xml:space="preserve">  "inputs": {"recordId": {"type": "string", "required": true}},</w:t>
              <w:br/>
              <w:t xml:space="preserve">  "outputs": {"result": {"type": "string"}},</w:t>
              <w:br/>
              <w:t xml:space="preserve">  "policyRefs": ["enterprise-default"],</w:t>
              <w:br/>
              <w:t xml:space="preserve">  "targets": {"main-window": {"desktop": {"windowTitle": "Invoice Entry"}}},</w:t>
              <w:br/>
              <w:t xml:space="preserve">  "steps": [{"stepId": "s-001", "actionType": "desktop.window.activate",</w:t>
              <w:br/>
              <w:t xml:space="preserve">    "target": {"selectorRef": "main-window"}, "parameters": {},</w:t>
              <w:br/>
              <w:t xml:space="preserve">    "timeoutMs": 10000, "retryClass": "TRANSIENT_SAFE",</w:t>
              <w:br/>
              <w:t xml:space="preserve">    "preconditions": [], "postconditions": []}]</w:t>
              <w:br/>
              <w:t>}</w:t>
            </w:r>
          </w:p>
        </w:tc>
      </w:tr>
    </w:tbl>
    <w:p/>
    <w:p>
      <w:pPr>
        <w:pStyle w:val="Heading2"/>
      </w:pPr>
      <w:r>
        <w:t>3.1 Named targets, script identity and references</w:t>
      </w:r>
    </w:p>
    <w:p>
      <w:r>
        <w:t>Named targets are optional and scoped to one published script. The outer targets map stores opaque runtime-specific selectors; the Orchestrator validates only basic envelope shape, while the intended Runtime validates target schema and capability.</w:t>
      </w:r>
    </w:p>
    <w:p>
      <w:pPr/>
      <w:r>
        <w:t>Identity validation: automationId is an opaque registry key only. Absolute/relative filesystem paths, executable references, URL-like values and path traversal are rejected even if syntactically valid strings.</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t>Requirement</w:t>
            </w:r>
          </w:p>
        </w:tc>
        <w:tc>
          <w:tcPr>
            <w:tcW w:type="dxa" w:w="4925"/>
            <w:vAlign w:val="center"/>
          </w:tcPr>
          <w:p>
            <w:pPr>
              <w:spacing w:after="40"/>
            </w:pPr>
            <w:r>
              <w:t>Rule</w:t>
            </w:r>
          </w:p>
        </w:tc>
      </w:tr>
      <w:tr>
        <w:tc>
          <w:tcPr>
            <w:tcW w:type="dxa" w:w="4925"/>
            <w:vAlign w:val="center"/>
          </w:tcPr>
          <w:p>
            <w:pPr>
              <w:spacing w:after="40"/>
            </w:pPr>
            <w:r>
              <w:t>Targets</w:t>
            </w:r>
          </w:p>
        </w:tc>
        <w:tc>
          <w:tcPr>
            <w:tcW w:type="dxa" w:w="4925"/>
            <w:vAlign w:val="center"/>
          </w:tcPr>
          <w:p>
            <w:pPr>
              <w:spacing w:after="40"/>
            </w:pPr>
            <w:r>
              <w:t>targets.&lt;name&gt; may contain runtime-specific selector or command definition. A selectorRef must resolve to exactly one defined name.</w:t>
            </w:r>
          </w:p>
        </w:tc>
      </w:tr>
      <w:tr>
        <w:tc>
          <w:tcPr>
            <w:tcW w:type="dxa" w:w="4925"/>
            <w:vAlign w:val="center"/>
          </w:tcPr>
          <w:p>
            <w:pPr>
              <w:spacing w:after="40"/>
            </w:pPr>
            <w:r>
              <w:t>Identifiers</w:t>
            </w:r>
          </w:p>
        </w:tc>
        <w:tc>
          <w:tcPr>
            <w:tcW w:type="dxa" w:w="4925"/>
            <w:vAlign w:val="center"/>
          </w:tcPr>
          <w:p>
            <w:pPr>
              <w:spacing w:after="40"/>
            </w:pPr>
            <w:r>
              <w:t>automationId, runtimeType and version are immutable after publication; no service response can determine the next script.</w:t>
            </w:r>
          </w:p>
        </w:tc>
      </w:tr>
      <w:tr>
        <w:tc>
          <w:tcPr>
            <w:tcW w:type="dxa" w:w="4925"/>
            <w:vAlign w:val="center"/>
          </w:tcPr>
          <w:p>
            <w:pPr>
              <w:spacing w:after="40"/>
            </w:pPr>
            <w:r>
              <w:t>Reference source</w:t>
            </w:r>
          </w:p>
        </w:tc>
        <w:tc>
          <w:tcPr>
            <w:tcW w:type="dxa" w:w="4925"/>
            <w:vAlign w:val="center"/>
          </w:tcPr>
          <w:p>
            <w:pPr>
              <w:spacing w:after="40"/>
            </w:pPr>
            <w:r>
              <w:t>Only inputs.&lt;declaredName&gt;, vars.&lt;boundName&gt;, steps.&lt;precedingStepId&gt;.outputs.&lt;declaredName&gt; and secrets.&lt;approvedRef&gt;.</w:t>
            </w:r>
          </w:p>
        </w:tc>
      </w:tr>
      <w:tr>
        <w:tc>
          <w:tcPr>
            <w:tcW w:type="dxa" w:w="4925"/>
            <w:vAlign w:val="center"/>
          </w:tcPr>
          <w:p>
            <w:pPr>
              <w:spacing w:after="40"/>
            </w:pPr>
            <w:r>
              <w:t>Reference form</w:t>
            </w:r>
          </w:p>
        </w:tc>
        <w:tc>
          <w:tcPr>
            <w:tcW w:type="dxa" w:w="4925"/>
            <w:vAlign w:val="center"/>
          </w:tcPr>
          <w:p>
            <w:pPr>
              <w:spacing w:after="40"/>
            </w:pPr>
            <w:r>
              <w:t>Use a typed object such as {"ref":"inputs.recordId"}; never eval, path interpolation or arbitrary code.</w:t>
            </w:r>
          </w:p>
        </w:tc>
      </w:tr>
    </w:tbl>
    <w:p>
      <w:pPr>
        <w:pStyle w:val="Heading1"/>
      </w:pPr>
      <w:r>
        <w:t>4. Common step envelope</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Field</w:t>
            </w:r>
          </w:p>
        </w:tc>
        <w:tc>
          <w:tcPr>
            <w:tcW w:type="dxa" w:w="3283"/>
            <w:shd w:fill="EAF3F6"/>
          </w:tcPr>
          <w:p>
            <w:r>
              <w:t>Required?</w:t>
            </w:r>
          </w:p>
        </w:tc>
        <w:tc>
          <w:tcPr>
            <w:tcW w:type="dxa" w:w="3283"/>
            <w:shd w:fill="EAF3F6"/>
          </w:tcPr>
          <w:p>
            <w:r>
              <w:t>Contract meaning</w:t>
            </w:r>
          </w:p>
        </w:tc>
      </w:tr>
      <w:tr>
        <w:tc>
          <w:tcPr>
            <w:tcW w:type="dxa" w:w="3283"/>
            <w:vAlign w:val="center"/>
          </w:tcPr>
          <w:p>
            <w:r>
              <w:rPr>
                <w:b/>
              </w:rPr>
              <w:t>stepId</w:t>
            </w:r>
          </w:p>
        </w:tc>
        <w:tc>
          <w:tcPr>
            <w:tcW w:type="dxa" w:w="3283"/>
            <w:vAlign w:val="center"/>
          </w:tcPr>
          <w:p>
            <w:r>
              <w:t>Yes</w:t>
            </w:r>
          </w:p>
        </w:tc>
        <w:tc>
          <w:tcPr>
            <w:tcW w:type="dxa" w:w="3283"/>
            <w:vAlign w:val="center"/>
          </w:tcPr>
          <w:p>
            <w:r>
              <w:t>Stable within script, repeated unchanged in diagnostics and test reports.</w:t>
            </w:r>
          </w:p>
        </w:tc>
      </w:tr>
      <w:tr>
        <w:tc>
          <w:tcPr>
            <w:tcW w:type="dxa" w:w="3283"/>
            <w:vAlign w:val="center"/>
          </w:tcPr>
          <w:p>
            <w:r>
              <w:rPr>
                <w:b/>
              </w:rPr>
              <w:t>actionType</w:t>
            </w:r>
          </w:p>
        </w:tc>
        <w:tc>
          <w:tcPr>
            <w:tcW w:type="dxa" w:w="3283"/>
            <w:vAlign w:val="center"/>
          </w:tcPr>
          <w:p>
            <w:r>
              <w:t>Yes</w:t>
            </w:r>
          </w:p>
        </w:tc>
        <w:tc>
          <w:tcPr>
            <w:tcW w:type="dxa" w:w="3283"/>
            <w:vAlign w:val="center"/>
          </w:tcPr>
          <w:p>
            <w:r>
              <w:t>Namespaced runtime action, or common control.branch / control.repeatBounded / service.invoke / value.compose. No generated code.</w:t>
            </w:r>
          </w:p>
        </w:tc>
      </w:tr>
      <w:tr>
        <w:tc>
          <w:tcPr>
            <w:tcW w:type="dxa" w:w="3283"/>
            <w:vAlign w:val="center"/>
          </w:tcPr>
          <w:p>
            <w:r>
              <w:rPr>
                <w:b/>
              </w:rPr>
              <w:t>target</w:t>
            </w:r>
          </w:p>
        </w:tc>
        <w:tc>
          <w:tcPr>
            <w:tcW w:type="dxa" w:w="3283"/>
            <w:vAlign w:val="center"/>
          </w:tcPr>
          <w:p>
            <w:r>
              <w:t>Where applicable</w:t>
            </w:r>
          </w:p>
        </w:tc>
        <w:tc>
          <w:tcPr>
            <w:tcW w:type="dxa" w:w="3283"/>
            <w:vAlign w:val="center"/>
          </w:tcPr>
          <w:p>
            <w:r>
              <w:t>Opaque typed runtime-specific target; generic Orchestrator does not parse it.</w:t>
            </w:r>
          </w:p>
        </w:tc>
      </w:tr>
      <w:tr>
        <w:tc>
          <w:tcPr>
            <w:tcW w:type="dxa" w:w="3283"/>
            <w:vAlign w:val="center"/>
          </w:tcPr>
          <w:p>
            <w:r>
              <w:rPr>
                <w:b/>
              </w:rPr>
              <w:t>parameters</w:t>
            </w:r>
          </w:p>
        </w:tc>
        <w:tc>
          <w:tcPr>
            <w:tcW w:type="dxa" w:w="3283"/>
            <w:vAlign w:val="center"/>
          </w:tcPr>
          <w:p>
            <w:r>
              <w:t>Yes</w:t>
            </w:r>
          </w:p>
        </w:tc>
        <w:tc>
          <w:tcPr>
            <w:tcW w:type="dxa" w:w="3283"/>
            <w:vAlign w:val="center"/>
          </w:tcPr>
          <w:p>
            <w:r>
              <w:t>Typed action arguments and references, never executable expressions.</w:t>
            </w:r>
          </w:p>
        </w:tc>
      </w:tr>
      <w:tr>
        <w:tc>
          <w:tcPr>
            <w:tcW w:type="dxa" w:w="3283"/>
            <w:vAlign w:val="center"/>
          </w:tcPr>
          <w:p>
            <w:r>
              <w:rPr>
                <w:b/>
              </w:rPr>
              <w:t>preconditions / postconditions</w:t>
            </w:r>
          </w:p>
        </w:tc>
        <w:tc>
          <w:tcPr>
            <w:tcW w:type="dxa" w:w="3283"/>
            <w:vAlign w:val="center"/>
          </w:tcPr>
          <w:p>
            <w:r>
              <w:t>Yes (can be empty)</w:t>
            </w:r>
          </w:p>
        </w:tc>
        <w:tc>
          <w:tcPr>
            <w:tcW w:type="dxa" w:w="3283"/>
            <w:vAlign w:val="center"/>
          </w:tcPr>
          <w:p>
            <w:r>
              <w:t>Technical predicates only. A false precondition waits until true within its deadline or ends FAILED with TIMEOUT detail; never SKIPPED. A false postcondition ends FAILED with verification detail, never SUCCEEDED/SKIPPED. If the step may already have committed an irreversible effect, report UNKNOWN unless postcondition evidence proves non-commitment.</w:t>
            </w:r>
          </w:p>
        </w:tc>
      </w:tr>
      <w:tr>
        <w:tc>
          <w:tcPr>
            <w:tcW w:type="dxa" w:w="3283"/>
            <w:vAlign w:val="center"/>
          </w:tcPr>
          <w:p>
            <w:r>
              <w:rPr>
                <w:b/>
              </w:rPr>
              <w:t>timeoutMs</w:t>
            </w:r>
          </w:p>
        </w:tc>
        <w:tc>
          <w:tcPr>
            <w:tcW w:type="dxa" w:w="3283"/>
            <w:vAlign w:val="center"/>
          </w:tcPr>
          <w:p>
            <w:r>
              <w:t>Yes</w:t>
            </w:r>
          </w:p>
        </w:tc>
        <w:tc>
          <w:tcPr>
            <w:tcW w:type="dxa" w:w="3283"/>
            <w:vAlign w:val="center"/>
          </w:tcPr>
          <w:p>
            <w:r>
              <w:t>Bounded nonnegative deadline; must not exceed job deadline.</w:t>
            </w:r>
          </w:p>
        </w:tc>
      </w:tr>
      <w:tr>
        <w:tc>
          <w:tcPr>
            <w:tcW w:type="dxa" w:w="3283"/>
            <w:vAlign w:val="center"/>
          </w:tcPr>
          <w:p>
            <w:r>
              <w:rPr>
                <w:b/>
              </w:rPr>
              <w:t>retryClass</w:t>
            </w:r>
          </w:p>
        </w:tc>
        <w:tc>
          <w:tcPr>
            <w:tcW w:type="dxa" w:w="3283"/>
            <w:vAlign w:val="center"/>
          </w:tcPr>
          <w:p>
            <w:r>
              <w:t>Yes</w:t>
            </w:r>
          </w:p>
        </w:tc>
        <w:tc>
          <w:tcPr>
            <w:tcW w:type="dxa" w:w="3283"/>
            <w:vAlign w:val="center"/>
          </w:tcPr>
          <w:p>
            <w:r>
              <w:t>NEVER | TRANSIENT_SAFE | IDEMPOTENT; operation-specific guards apply.</w:t>
            </w:r>
          </w:p>
        </w:tc>
      </w:tr>
      <w:tr>
        <w:tc>
          <w:tcPr>
            <w:tcW w:type="dxa" w:w="3283"/>
            <w:vAlign w:val="center"/>
          </w:tcPr>
          <w:p>
            <w:r>
              <w:rPr>
                <w:b/>
              </w:rPr>
              <w:t>outputBindings</w:t>
            </w:r>
          </w:p>
        </w:tc>
        <w:tc>
          <w:tcPr>
            <w:tcW w:type="dxa" w:w="3283"/>
            <w:vAlign w:val="center"/>
          </w:tcPr>
          <w:p>
            <w:r>
              <w:t>Optional</w:t>
            </w:r>
          </w:p>
        </w:tc>
        <w:tc>
          <w:tcPr>
            <w:tcW w:type="dxa" w:w="3283"/>
            <w:vAlign w:val="center"/>
          </w:tcPr>
          <w:p>
            <w:r>
              <w:t>Typed binding from a completed action output or approved reference to an explicitly declared vars.&lt;name&gt;. Validate type compatibility and preceding-step order; forbid transformations/computations, arbitrary paths and secret plaintext.</w:t>
            </w:r>
          </w:p>
        </w:tc>
      </w:tr>
      <w:tr>
        <w:tc>
          <w:tcPr>
            <w:tcW w:type="dxa" w:w="3283"/>
            <w:vAlign w:val="center"/>
          </w:tcPr>
          <w:p>
            <w:r>
              <w:rPr>
                <w:b/>
              </w:rPr>
              <w:t>onFailure</w:t>
            </w:r>
          </w:p>
        </w:tc>
        <w:tc>
          <w:tcPr>
            <w:tcW w:type="dxa" w:w="3283"/>
            <w:vAlign w:val="center"/>
          </w:tcPr>
          <w:p>
            <w:r>
              <w:t>Optional</w:t>
            </w:r>
          </w:p>
        </w:tc>
        <w:tc>
          <w:tcPr>
            <w:tcW w:type="dxa" w:w="3283"/>
            <w:vAlign w:val="center"/>
          </w:tcPr>
          <w:p>
            <w:r>
              <w:t>Fail, bounded technical retry, safe recovery step or operator attention; not business compensation.</w:t>
            </w:r>
          </w:p>
        </w:tc>
      </w:tr>
    </w:tbl>
    <w:p/>
    <w:p>
      <w:pPr>
        <w:pStyle w:val="Heading2"/>
      </w:pPr>
      <w:r>
        <w:t>4.1 Bounded control flow and preconditions</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t>Shared action</w:t>
            </w:r>
          </w:p>
        </w:tc>
        <w:tc>
          <w:tcPr>
            <w:tcW w:type="dxa" w:w="4925"/>
            <w:vAlign w:val="center"/>
          </w:tcPr>
          <w:p>
            <w:pPr>
              <w:spacing w:after="40"/>
            </w:pPr>
            <w:r>
              <w:t>Execution semantics and limits</w:t>
            </w:r>
          </w:p>
        </w:tc>
      </w:tr>
      <w:tr>
        <w:tc>
          <w:tcPr>
            <w:tcW w:type="dxa" w:w="4925"/>
            <w:vAlign w:val="center"/>
          </w:tcPr>
          <w:p>
            <w:pPr>
              <w:spacing w:after="40"/>
            </w:pPr>
            <w:r>
              <w:t>control.branch</w:t>
            </w:r>
          </w:p>
        </w:tc>
        <w:tc>
          <w:tcPr>
            <w:tcW w:type="dxa" w:w="4925"/>
            <w:vAlign w:val="center"/>
          </w:tcPr>
          <w:p>
            <w:pPr>
              <w:spacing w:after="40"/>
            </w:pPr>
            <w:r>
              <w:t>Evaluate one approved technical predicate or equality on service outcome/actionCode. Execute a declared thenSteps or elseSteps list; each contains only later step IDs; no backward jump, dynamic step IDs or recursion.</w:t>
            </w:r>
          </w:p>
        </w:tc>
      </w:tr>
      <w:tr>
        <w:tc>
          <w:tcPr>
            <w:tcW w:type="dxa" w:w="4925"/>
            <w:vAlign w:val="center"/>
          </w:tcPr>
          <w:p>
            <w:pPr>
              <w:spacing w:after="40"/>
            </w:pPr>
            <w:r>
              <w:t>control.repeatBounded</w:t>
            </w:r>
          </w:p>
        </w:tc>
        <w:tc>
          <w:tcPr>
            <w:tcW w:type="dxa" w:w="4925"/>
            <w:vAlign w:val="center"/>
          </w:tcPr>
          <w:p>
            <w:pPr>
              <w:spacing w:after="40"/>
            </w:pPr>
            <w:r>
              <w:t>Repeat a fixed, contiguous action block for technical UI traversal only. maxIterations is a literal approved integer, ≤ policy cap (proposed default 100); each iteration checks time/run budget and optional technical exit predicate. No record-derived business threshold.</w:t>
            </w:r>
          </w:p>
        </w:tc>
      </w:tr>
      <w:tr>
        <w:tc>
          <w:tcPr>
            <w:tcW w:type="dxa" w:w="4925"/>
            <w:vAlign w:val="center"/>
          </w:tcPr>
          <w:p>
            <w:pPr>
              <w:spacing w:after="40"/>
            </w:pPr>
            <w:r>
              <w:t>preconditions</w:t>
            </w:r>
          </w:p>
        </w:tc>
        <w:tc>
          <w:tcPr>
            <w:tcW w:type="dxa" w:w="4925"/>
            <w:vAlign w:val="center"/>
          </w:tcPr>
          <w:p>
            <w:pPr>
              <w:spacing w:after="40"/>
            </w:pPr>
            <w:r>
              <w:t>Wait for true until timeout; otherwise FAIL step. A false precondition is never SKIPPED.</w:t>
            </w:r>
          </w:p>
        </w:tc>
      </w:tr>
      <w:tr>
        <w:tc>
          <w:tcPr>
            <w:tcW w:type="dxa" w:w="4925"/>
            <w:vAlign w:val="center"/>
          </w:tcPr>
          <w:p>
            <w:pPr>
              <w:spacing w:after="40"/>
            </w:pPr>
            <w:r>
              <w:t>SKIPPED</w:t>
            </w:r>
          </w:p>
        </w:tc>
        <w:tc>
          <w:tcPr>
            <w:tcW w:type="dxa" w:w="4925"/>
            <w:vAlign w:val="center"/>
          </w:tcPr>
          <w:p>
            <w:r>
              <w:t>Only an unselected control.branch arm produces SKIPPED; reasonCode=BRANCH_NOT_TAKEN. No implicit skip from a false precondition.</w:t>
            </w:r>
          </w:p>
        </w:tc>
      </w:tr>
      <w:tr>
        <w:tc>
          <w:tcPr>
            <w:tcW w:type="dxa" w:w="4925"/>
            <w:vAlign w:val="center"/>
          </w:tcPr>
          <w:p>
            <w:pPr>
              <w:spacing w:after="40"/>
            </w:pPr>
            <w:r>
              <w:t>value.compose</w:t>
            </w:r>
          </w:p>
        </w:tc>
        <w:tc>
          <w:tcPr>
            <w:tcW w:type="dxa" w:w="4925"/>
            <w:vAlign w:val="center"/>
          </w:tcPr>
          <w:p>
            <w:r>
              <w:t>Join literals and approved typed references to form UI text or approved file-path values. Such composed values may subsequently be passed unchanged through service.invoke inputBindings. No service endpoint/operation identifiers, shell commands, domain transformations or condition expressions.</w:t>
            </w:r>
          </w:p>
        </w:tc>
      </w:tr>
    </w:tbl>
    <w:p>
      <w:r>
        <w:t>A script is guaranteed to terminate through forward-only branching, hard iteration caps, bounded action timeouts and a job deadline. Iteration is an execution convenience, not a domain processing engine.</w:t>
      </w:r>
    </w:p>
    <w:p>
      <w:pPr>
        <w:pStyle w:val="Heading1"/>
      </w:pPr>
      <w:r>
        <w:t>5. Closed technical-condition grammar</w:t>
      </w:r>
    </w:p>
    <w:p>
      <w:r>
        <w:t>Each engine may publish its supported technical-state predicates in a namespaced capability catalogue. No engine may add relational/arithmetic/computation predicates over domain fields. The expression parser must be an allowlist rather than an arbitrary expression interpreter.</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Permitted</w:t>
            </w:r>
          </w:p>
        </w:tc>
        <w:tc>
          <w:tcPr>
            <w:tcW w:type="dxa" w:w="3283"/>
            <w:shd w:fill="EAF3F6"/>
          </w:tcPr>
          <w:p>
            <w:r>
              <w:t>Examples</w:t>
            </w:r>
          </w:p>
        </w:tc>
        <w:tc>
          <w:tcPr>
            <w:tcW w:type="dxa" w:w="3283"/>
            <w:shd w:fill="EAF3F6"/>
          </w:tcPr>
          <w:p>
            <w:r>
              <w:t>Restrictions</w:t>
            </w:r>
          </w:p>
        </w:tc>
      </w:tr>
      <w:tr>
        <w:tc>
          <w:tcPr>
            <w:tcW w:type="dxa" w:w="3283"/>
            <w:vAlign w:val="center"/>
          </w:tcPr>
          <w:p>
            <w:r>
              <w:rPr>
                <w:b/>
              </w:rPr>
              <w:t>Element / context state</w:t>
            </w:r>
          </w:p>
        </w:tc>
        <w:tc>
          <w:tcPr>
            <w:tcW w:type="dxa" w:w="3283"/>
            <w:vAlign w:val="center"/>
          </w:tcPr>
          <w:p>
            <w:r>
              <w:t>desktop.elementExists, browser.elementVisible, terminal.processExited</w:t>
            </w:r>
          </w:p>
        </w:tc>
        <w:tc>
          <w:tcPr>
            <w:tcW w:type="dxa" w:w="3283"/>
            <w:vAlign w:val="center"/>
          </w:tcPr>
          <w:p>
            <w:r>
              <w:t>Read only observed environment state; cannot authorize a business decision.</w:t>
            </w:r>
          </w:p>
        </w:tc>
      </w:tr>
      <w:tr>
        <w:tc>
          <w:tcPr>
            <w:tcW w:type="dxa" w:w="3283"/>
            <w:vAlign w:val="center"/>
          </w:tcPr>
          <w:p>
            <w:r>
              <w:rPr>
                <w:b/>
              </w:rPr>
              <w:t>Technical equality</w:t>
            </w:r>
          </w:p>
        </w:tc>
        <w:tc>
          <w:tcPr>
            <w:tcW w:type="dxa" w:w="3283"/>
            <w:vAlign w:val="center"/>
          </w:tcPr>
          <w:p>
            <w:r>
              <w:t>desktop.uiTextEquals, browser.urlEquals, terminal.exitCodeEquals</w:t>
            </w:r>
          </w:p>
        </w:tc>
        <w:tc>
          <w:tcPr>
            <w:tcW w:type="dxa" w:w="3283"/>
            <w:vAlign w:val="center"/>
          </w:tcPr>
          <w:p>
            <w:r>
              <w:t>Used for navigation/postcondition checks; no comparisons with business thresholds.</w:t>
            </w:r>
          </w:p>
        </w:tc>
      </w:tr>
      <w:tr>
        <w:tc>
          <w:tcPr>
            <w:tcW w:type="dxa" w:w="3283"/>
            <w:vAlign w:val="center"/>
          </w:tcPr>
          <w:p>
            <w:r>
              <w:rPr>
                <w:b/>
              </w:rPr>
              <w:t>API category equality</w:t>
            </w:r>
          </w:p>
        </w:tc>
        <w:tc>
          <w:tcPr>
            <w:tcW w:type="dxa" w:w="3283"/>
            <w:vAlign w:val="center"/>
          </w:tcPr>
          <w:p>
            <w:r>
              <w:t>api.outcomeCategoryEquals(SUCCESS | BUSINESS_REJECTION | TECHNICAL_FAILURE | TRANSIENT_FAILURE | UNKNOWN_OUTCOME)</w:t>
            </w:r>
          </w:p>
        </w:tc>
        <w:tc>
          <w:tcPr>
            <w:tcW w:type="dxa" w:w="3283"/>
            <w:vAlign w:val="center"/>
          </w:tcPr>
          <w:p>
            <w:r>
              <w:t>Equality only against five serviceOutcome values: SUCCESS and four non-success categories. No business-field comparisons.</w:t>
            </w:r>
          </w:p>
        </w:tc>
      </w:tr>
      <w:tr>
        <w:tc>
          <w:tcPr>
            <w:tcW w:type="dxa" w:w="3283"/>
            <w:vAlign w:val="center"/>
          </w:tcPr>
          <w:p>
            <w:r>
              <w:rPr>
                <w:b/>
              </w:rPr>
              <w:t>Approved action code equality</w:t>
            </w:r>
          </w:p>
        </w:tc>
        <w:tc>
          <w:tcPr>
            <w:tcW w:type="dxa" w:w="3283"/>
            <w:vAlign w:val="center"/>
          </w:tcPr>
          <w:p>
            <w:r>
              <w:t>api.actionCodeEquals(POST_STATUS)</w:t>
            </w:r>
          </w:p>
        </w:tc>
        <w:tc>
          <w:tcPr>
            <w:tcW w:type="dxa" w:w="3283"/>
            <w:vAlign w:val="center"/>
          </w:tcPr>
          <w:p>
            <w:r>
              <w:t>Service-returned action codes must match a published script allowlist mapped to existing local steps.</w:t>
            </w:r>
          </w:p>
        </w:tc>
      </w:tr>
      <w:tr>
        <w:tc>
          <w:tcPr>
            <w:tcW w:type="dxa" w:w="3283"/>
            <w:vAlign w:val="center"/>
          </w:tcPr>
          <w:p>
            <w:r>
              <w:rPr>
                <w:b/>
              </w:rPr>
              <w:t>Boolean composition</w:t>
            </w:r>
          </w:p>
        </w:tc>
        <w:tc>
          <w:tcPr>
            <w:tcW w:type="dxa" w:w="3283"/>
            <w:vAlign w:val="center"/>
          </w:tcPr>
          <w:p>
            <w:r>
              <w:t>all / any / not over approved predicates</w:t>
            </w:r>
          </w:p>
        </w:tc>
        <w:tc>
          <w:tcPr>
            <w:tcW w:type="dxa" w:w="3283"/>
            <w:vAlign w:val="center"/>
          </w:tcPr>
          <w:p>
            <w:r>
              <w:t>Finite nested conditions with bounded depth; no custom functions or arbitrary code.</w:t>
            </w:r>
          </w:p>
        </w:tc>
      </w:tr>
    </w:tbl>
    <w:p/>
    <w:p>
      <w:r>
        <w:t>Explicitly rejected: response.amount &gt; 10000, response.score &lt;= 0.8, domain arithmetic, dynamic service destinations, constructed command/endpoint URLs, arbitrary JavaScript/C# expressions, unbounded loops, service-supplied automation IDs and dynamic action definitions. Technical value composition for declared UI labels/paths is permitted only through the restricted value.compose primitive; it cannot generate destinations, commands or branch expressions.</w:t>
      </w:r>
    </w:p>
    <w:p>
      <w:pPr>
        <w:pStyle w:val="Heading2"/>
      </w:pPr>
      <w:r>
        <w:t>5.1 Allowed technical-condition forms</w:t>
      </w:r>
    </w:p>
    <w:p>
      <w:r>
        <w:t>Predicates are simple objects (type + named arguments) and may be combined only with bounded all/any/not. Each Runtime publishes supported observed technical states. Domain fields are never used in comparisons, even when present in an API response.</w:t>
      </w:r>
    </w:p>
    <w:p>
      <w:r>
        <w:t>Example: {"type":"api.actionCodeEquals","value":"POST_STATUS"} is valid only if POST_STATUS is in the script allowlist. {"type":"api.amountGreaterThan","value":10000} is invalid.</w:t>
      </w:r>
    </w:p>
    <w:p>
      <w:pPr>
        <w:pStyle w:val="Heading1"/>
      </w:pPr>
      <w:r>
        <w:t>6. API integration outcome and error taxonomy</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Category</w:t>
            </w:r>
          </w:p>
        </w:tc>
        <w:tc>
          <w:tcPr>
            <w:tcW w:type="dxa" w:w="3283"/>
            <w:shd w:fill="EAF3F6"/>
          </w:tcPr>
          <w:p>
            <w:r>
              <w:t>Meaning</w:t>
            </w:r>
          </w:p>
        </w:tc>
        <w:tc>
          <w:tcPr>
            <w:tcW w:type="dxa" w:w="3283"/>
            <w:shd w:fill="EAF3F6"/>
          </w:tcPr>
          <w:p>
            <w:r>
              <w:t>Default runtime handling</w:t>
            </w:r>
          </w:p>
        </w:tc>
      </w:tr>
      <w:tr>
        <w:tc>
          <w:tcPr>
            <w:tcW w:type="dxa" w:w="3283"/>
            <w:vAlign w:val="center"/>
          </w:tcPr>
          <w:p>
            <w:r>
              <w:rPr>
                <w:b/>
              </w:rPr>
              <w:t>BUSINESS_REJECTION</w:t>
            </w:r>
          </w:p>
        </w:tc>
        <w:tc>
          <w:tcPr>
            <w:tcW w:type="dxa" w:w="3283"/>
            <w:vAlign w:val="center"/>
          </w:tcPr>
          <w:p>
            <w:r>
              <w:t>Service returned a definitive domain decision rejecting a request.</w:t>
            </w:r>
          </w:p>
        </w:tc>
        <w:tc>
          <w:tcPr>
            <w:tcW w:type="dxa" w:w="3283"/>
            <w:vAlign w:val="center"/>
          </w:tcPr>
          <w:p>
            <w:r>
              <w:t>Treat as handled API result; follow preapproved UI action code and record businessOutcome=REJECTED if UI flow succeeds.</w:t>
            </w:r>
          </w:p>
        </w:tc>
      </w:tr>
      <w:tr>
        <w:tc>
          <w:tcPr>
            <w:tcW w:type="dxa" w:w="3283"/>
            <w:vAlign w:val="center"/>
          </w:tcPr>
          <w:p>
            <w:r>
              <w:rPr>
                <w:b/>
              </w:rPr>
              <w:t>TECHNICAL_FAILURE</w:t>
            </w:r>
          </w:p>
        </w:tc>
        <w:tc>
          <w:tcPr>
            <w:tcW w:type="dxa" w:w="3283"/>
            <w:vAlign w:val="center"/>
          </w:tcPr>
          <w:p>
            <w:r>
              <w:t>Nontransient transport/configuration/auth/schema failure or definitive technical error.</w:t>
            </w:r>
          </w:p>
        </w:tc>
        <w:tc>
          <w:tcPr>
            <w:tcW w:type="dxa" w:w="3283"/>
            <w:vAlign w:val="center"/>
          </w:tcPr>
          <w:p>
            <w:r>
              <w:t>Stop or branch to bounded technical failure handler; no domain compensation.</w:t>
            </w:r>
          </w:p>
        </w:tc>
      </w:tr>
      <w:tr>
        <w:tc>
          <w:tcPr>
            <w:tcW w:type="dxa" w:w="3283"/>
            <w:vAlign w:val="center"/>
          </w:tcPr>
          <w:p>
            <w:r>
              <w:rPr>
                <w:b/>
              </w:rPr>
              <w:t>TRANSIENT_FAILURE</w:t>
            </w:r>
          </w:p>
        </w:tc>
        <w:tc>
          <w:tcPr>
            <w:tcW w:type="dxa" w:w="3283"/>
            <w:vAlign w:val="center"/>
          </w:tcPr>
          <w:p>
            <w:r>
              <w:t>Timeout or retriable short-lived failure where outcome is known not committed or request is idempotent.</w:t>
            </w:r>
          </w:p>
        </w:tc>
        <w:tc>
          <w:tcPr>
            <w:tcW w:type="dxa" w:w="3283"/>
            <w:vAlign w:val="center"/>
          </w:tcPr>
          <w:p>
            <w:r>
              <w:t>Retry only if operation is provably uncommitted or repeat-safe under idempotency key; otherwise UNKNOWN_OUTCOME.</w:t>
            </w:r>
          </w:p>
        </w:tc>
      </w:tr>
      <w:tr>
        <w:tc>
          <w:tcPr>
            <w:tcW w:type="dxa" w:w="3283"/>
            <w:vAlign w:val="center"/>
          </w:tcPr>
          <w:p>
            <w:r>
              <w:rPr>
                <w:b/>
              </w:rPr>
              <w:t>UNKNOWN_OUTCOME</w:t>
            </w:r>
          </w:p>
        </w:tc>
        <w:tc>
          <w:tcPr>
            <w:tcW w:type="dxa" w:w="3283"/>
            <w:vAlign w:val="center"/>
          </w:tcPr>
          <w:p>
            <w:r>
              <w:t>Cannot prove whether irreversible operation/API request committed.</w:t>
            </w:r>
          </w:p>
        </w:tc>
        <w:tc>
          <w:tcPr>
            <w:tcW w:type="dxa" w:w="3283"/>
            <w:vAlign w:val="center"/>
          </w:tcPr>
          <w:p>
            <w:r>
              <w:t>Mark run UNKNOWN with operator flag; never replay blindly.</w:t>
            </w:r>
          </w:p>
        </w:tc>
      </w:tr>
    </w:tbl>
    <w:p/>
    <w:p>
      <w:r>
        <w:t>A successful service call can also return an ACCEPTED decision. The four categories above classify rejection/failure/uncertainty; successful accepted processing is represented by serviceOutcome=SUCCESS plus businessOutcome=ACCEPTED or allowlisted service-defined actionCode. Do not misclassify ordinary domain rejection as infrastructure failure.</w:t>
      </w:r>
    </w:p>
    <w:p>
      <w:pPr>
        <w:pStyle w:val="Heading2"/>
      </w:pPr>
      <w:r>
        <w:t>6.1 Normative custom business-service invocation (C4)</w:t>
      </w:r>
    </w:p>
    <w:p>
      <w:r>
        <w:t>The common API action is service.invoke, NOT an arbitrary HTTP client. Every serviceRef identifies a registered external custom business service; operationRef resolves to a preapproved relative operation and method. No script-level raw URL, unregistered host, alternate service redirect, raw SQL connection, or direct third-party REST call is allowed.</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t>Field</w:t>
            </w:r>
          </w:p>
        </w:tc>
        <w:tc>
          <w:tcPr>
            <w:tcW w:type="dxa" w:w="3283"/>
            <w:vAlign w:val="center"/>
          </w:tcPr>
          <w:p>
            <w:pPr>
              <w:spacing w:after="40"/>
            </w:pPr>
            <w:r>
              <w:t>Required</w:t>
            </w:r>
          </w:p>
        </w:tc>
        <w:tc>
          <w:tcPr>
            <w:tcW w:type="dxa" w:w="3283"/>
            <w:vAlign w:val="center"/>
          </w:tcPr>
          <w:p>
            <w:pPr>
              <w:spacing w:after="40"/>
            </w:pPr>
            <w:r>
              <w:t>Rule</w:t>
            </w:r>
          </w:p>
        </w:tc>
      </w:tr>
      <w:tr>
        <w:tc>
          <w:tcPr>
            <w:tcW w:type="dxa" w:w="3283"/>
            <w:vAlign w:val="center"/>
          </w:tcPr>
          <w:p>
            <w:pPr>
              <w:spacing w:after="40"/>
            </w:pPr>
            <w:r>
              <w:t>serviceRef</w:t>
            </w:r>
          </w:p>
        </w:tc>
        <w:tc>
          <w:tcPr>
            <w:tcW w:type="dxa" w:w="3283"/>
            <w:vAlign w:val="center"/>
          </w:tcPr>
          <w:p>
            <w:pPr>
              <w:spacing w:after="40"/>
            </w:pPr>
            <w:r>
              <w:t>Yes</w:t>
            </w:r>
          </w:p>
        </w:tc>
        <w:tc>
          <w:tcPr>
            <w:tcW w:type="dxa" w:w="3283"/>
            <w:vAlign w:val="center"/>
          </w:tcPr>
          <w:p>
            <w:pPr>
              <w:spacing w:after="40"/>
            </w:pPr>
            <w:r>
              <w:t>Logical ID bound to an approved customer-owned custom business service; registration/policy confirms identity and destination.</w:t>
            </w:r>
          </w:p>
        </w:tc>
      </w:tr>
      <w:tr>
        <w:tc>
          <w:tcPr>
            <w:tcW w:type="dxa" w:w="3283"/>
            <w:vAlign w:val="center"/>
          </w:tcPr>
          <w:p>
            <w:pPr>
              <w:spacing w:after="40"/>
            </w:pPr>
            <w:r>
              <w:t>operationRef</w:t>
            </w:r>
          </w:p>
        </w:tc>
        <w:tc>
          <w:tcPr>
            <w:tcW w:type="dxa" w:w="3283"/>
            <w:vAlign w:val="center"/>
          </w:tcPr>
          <w:p>
            <w:pPr>
              <w:spacing w:after="40"/>
            </w:pPr>
            <w:r>
              <w:t>Yes</w:t>
            </w:r>
          </w:p>
        </w:tc>
        <w:tc>
          <w:tcPr>
            <w:tcW w:type="dxa" w:w="3283"/>
            <w:vAlign w:val="center"/>
          </w:tcPr>
          <w:p>
            <w:pPr>
              <w:spacing w:after="40"/>
            </w:pPr>
            <w:r>
              <w:t>Approved operation within that service; registry supplies route, method and content type.</w:t>
            </w:r>
          </w:p>
        </w:tc>
      </w:tr>
      <w:tr>
        <w:tc>
          <w:tcPr>
            <w:tcW w:type="dxa" w:w="3283"/>
            <w:vAlign w:val="center"/>
          </w:tcPr>
          <w:p>
            <w:pPr>
              <w:spacing w:after="40"/>
            </w:pPr>
            <w:r>
              <w:t>mode</w:t>
            </w:r>
          </w:p>
        </w:tc>
        <w:tc>
          <w:tcPr>
            <w:tcW w:type="dxa" w:w="3283"/>
            <w:vAlign w:val="center"/>
          </w:tcPr>
          <w:p>
            <w:pPr>
              <w:spacing w:after="40"/>
            </w:pPr>
            <w:r>
              <w:t>Yes</w:t>
            </w:r>
          </w:p>
        </w:tc>
        <w:tc>
          <w:tcPr>
            <w:tcW w:type="dxa" w:w="3283"/>
            <w:vAlign w:val="center"/>
          </w:tcPr>
          <w:p>
            <w:pPr>
              <w:spacing w:after="40"/>
            </w:pPr>
            <w:r>
              <w:t>SYNC or ASYNC. Async acknowledged request completes current run as HANDED_OFF.</w:t>
            </w:r>
          </w:p>
        </w:tc>
      </w:tr>
      <w:tr>
        <w:tc>
          <w:tcPr>
            <w:tcW w:type="dxa" w:w="3283"/>
            <w:vAlign w:val="center"/>
          </w:tcPr>
          <w:p>
            <w:pPr>
              <w:spacing w:after="40"/>
            </w:pPr>
            <w:r>
              <w:t>inputBindings</w:t>
            </w:r>
          </w:p>
        </w:tc>
        <w:tc>
          <w:tcPr>
            <w:tcW w:type="dxa" w:w="3283"/>
            <w:vAlign w:val="center"/>
          </w:tcPr>
          <w:p>
            <w:pPr>
              <w:spacing w:after="40"/>
            </w:pPr>
            <w:r>
              <w:t>Yes</w:t>
            </w:r>
          </w:p>
        </w:tc>
        <w:tc>
          <w:tcPr>
            <w:tcW w:type="dxa" w:w="3283"/>
            <w:vAlign w:val="center"/>
          </w:tcPr>
          <w:p>
            <w:r>
              <w:t>Typed values from inputs, vars and prior outputs. Approved value.compose output may be bound as a pass-through UI-text/file-path value; no arithmetic, domain conversion or script-side payload transformation.</w:t>
            </w:r>
          </w:p>
        </w:tc>
      </w:tr>
      <w:tr>
        <w:tc>
          <w:tcPr>
            <w:tcW w:type="dxa" w:w="3283"/>
            <w:vAlign w:val="center"/>
          </w:tcPr>
          <w:p>
            <w:pPr>
              <w:spacing w:after="40"/>
            </w:pPr>
            <w:r>
              <w:t>authSecretRef</w:t>
            </w:r>
          </w:p>
        </w:tc>
        <w:tc>
          <w:tcPr>
            <w:tcW w:type="dxa" w:w="3283"/>
            <w:vAlign w:val="center"/>
          </w:tcPr>
          <w:p>
            <w:pPr>
              <w:spacing w:after="40"/>
            </w:pPr>
            <w:r>
              <w:t>When protected</w:t>
            </w:r>
          </w:p>
        </w:tc>
        <w:tc>
          <w:tcPr>
            <w:tcW w:type="dxa" w:w="3283"/>
            <w:vAlign w:val="center"/>
          </w:tcPr>
          <w:p>
            <w:pPr>
              <w:spacing w:after="40"/>
            </w:pPr>
            <w:r>
              <w:t>Windows-side secret reference. Orchestrator sees only opaque ref; authenticated request made by permitted Runtime.</w:t>
            </w:r>
          </w:p>
        </w:tc>
      </w:tr>
      <w:tr>
        <w:tc>
          <w:tcPr>
            <w:tcW w:type="dxa" w:w="3283"/>
            <w:vAlign w:val="center"/>
          </w:tcPr>
          <w:p>
            <w:pPr>
              <w:spacing w:after="40"/>
            </w:pPr>
            <w:r>
              <w:t>idempotencyKeyRef</w:t>
            </w:r>
          </w:p>
        </w:tc>
        <w:tc>
          <w:tcPr>
            <w:tcW w:type="dxa" w:w="3283"/>
            <w:vAlign w:val="center"/>
          </w:tcPr>
          <w:p>
            <w:pPr>
              <w:spacing w:after="40"/>
            </w:pPr>
            <w:r>
              <w:t>When action may commit</w:t>
            </w:r>
          </w:p>
        </w:tc>
        <w:tc>
          <w:tcPr>
            <w:tcW w:type="dxa" w:w="3283"/>
            <w:vAlign w:val="center"/>
          </w:tcPr>
          <w:p>
            <w:pPr>
              <w:spacing w:after="40"/>
            </w:pPr>
            <w:r>
              <w:t>Immutable request/attempt correlation; required when retrying effectful service calls.</w:t>
            </w:r>
          </w:p>
        </w:tc>
      </w:tr>
      <w:tr>
        <w:tc>
          <w:tcPr>
            <w:tcW w:type="dxa" w:w="3283"/>
            <w:vAlign w:val="center"/>
          </w:tcPr>
          <w:p>
            <w:pPr>
              <w:spacing w:after="40"/>
            </w:pPr>
            <w:r>
              <w:t>timeoutMs</w:t>
            </w:r>
          </w:p>
        </w:tc>
        <w:tc>
          <w:tcPr>
            <w:tcW w:type="dxa" w:w="3283"/>
            <w:vAlign w:val="center"/>
          </w:tcPr>
          <w:p>
            <w:pPr>
              <w:spacing w:after="40"/>
            </w:pPr>
            <w:r>
              <w:t>Yes</w:t>
            </w:r>
          </w:p>
        </w:tc>
        <w:tc>
          <w:tcPr>
            <w:tcW w:type="dxa" w:w="3283"/>
            <w:vAlign w:val="center"/>
          </w:tcPr>
          <w:p>
            <w:pPr>
              <w:spacing w:after="40"/>
            </w:pPr>
            <w:r>
              <w:t>Bounded by step and job deadlines.</w:t>
            </w:r>
          </w:p>
        </w:tc>
      </w:tr>
      <w:tr>
        <w:tc>
          <w:tcPr>
            <w:tcW w:type="dxa" w:w="3283"/>
            <w:vAlign w:val="center"/>
          </w:tcPr>
          <w:p>
            <w:pPr>
              <w:spacing w:after="40"/>
            </w:pPr>
            <w:r>
              <w:t>actionCodeAllowlist</w:t>
            </w:r>
          </w:p>
        </w:tc>
        <w:tc>
          <w:tcPr>
            <w:tcW w:type="dxa" w:w="3283"/>
            <w:vAlign w:val="center"/>
          </w:tcPr>
          <w:p>
            <w:pPr>
              <w:spacing w:after="40"/>
            </w:pPr>
            <w:r>
              <w:t>Optional</w:t>
            </w:r>
          </w:p>
        </w:tc>
        <w:tc>
          <w:tcPr>
            <w:tcW w:type="dxa" w:w="3283"/>
            <w:vAlign w:val="center"/>
          </w:tcPr>
          <w:p>
            <w:pPr>
              <w:spacing w:after="40"/>
            </w:pPr>
            <w:r>
              <w:t>Finite published codes mapped to predeclared branch arms; service cannot supply script IDs or executable code.</w:t>
            </w:r>
          </w:p>
        </w:tc>
      </w:tr>
    </w:tbl>
    <w:p>
      <w:r>
        <w:t>Required lightweight response convention for custom services (or a gateway adapter owned by the customer service, NOT by the Tracto Runtime): serviceOutcome = SUCCESS | BUSINESS_REJECTION | TECHNICAL_FAILURE | TRANSIENT_FAILURE | UNKNOWN_OUTCOME; optional businessOutcome, actionCode, data, businessJobId, correlationId. A technically successful HTTP response is not proof of business acceptance; mapping is explicit at the service boundary.</w:t>
      </w:r>
    </w:p>
    <w:tbl>
      <w:tblPr>
        <w:tblStyle w:val="TableGrid"/>
        <w:tblW w:type="auto" w:w="0"/>
        <w:tblLook w:firstColumn="1" w:firstRow="1" w:lastColumn="0" w:lastRow="0" w:noHBand="0" w:noVBand="1" w:val="04A0"/>
      </w:tblPr>
      <w:tblGrid>
        <w:gridCol w:w="9850"/>
      </w:tblGrid>
      <w:tr>
        <w:tc>
          <w:tcPr>
            <w:tcW w:type="dxa" w:w="9850"/>
          </w:tcPr>
          <w:p>
            <w:r>
              <w:rPr>
                <w:rFonts w:ascii="Consolas" w:hAnsi="Consolas"/>
                <w:sz w:val="15"/>
              </w:rPr>
              <w:t>{</w:t>
              <w:br/>
              <w:t xml:space="preserve">  "serviceOutcome":"SUCCESS",</w:t>
              <w:br/>
              <w:t xml:space="preserve">  "businessOutcome":"ACCEPTED",</w:t>
              <w:br/>
              <w:t xml:space="preserve">  "actionCode":"POST_STATUS",</w:t>
              <w:br/>
              <w:t xml:space="preserve">  "data":{"statusText":"Approved"},</w:t>
              <w:br/>
              <w:t xml:space="preserve">  "businessJobId":null,</w:t>
              <w:br/>
              <w:t xml:space="preserve">  "correlationId":"corr-123"</w:t>
              <w:br/>
              <w:t>}</w:t>
            </w:r>
          </w:p>
        </w:tc>
      </w:tr>
    </w:tbl>
    <w:p>
      <w:r>
        <w:t>Transport outcomes: definite technical rejection -&gt; TECHNICAL_FAILURE; explicitly retriable and safely uncommitted -&gt; TRANSIENT_FAILURE; request-commit ambiguity -&gt; UNKNOWN_OUTCOME. Never infer domain acceptance from HTTP 200 alone. No direct third-party API response adapter is built into Tracto.</w:t>
      </w:r>
    </w:p>
    <w:p>
      <w:pPr>
        <w:pStyle w:val="Heading2"/>
      </w:pPr>
      <w:r>
        <w:t>6.2 Common error categories versus service outcomes</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t>errorCategory</w:t>
            </w:r>
          </w:p>
        </w:tc>
        <w:tc>
          <w:tcPr>
            <w:tcW w:type="dxa" w:w="4925"/>
            <w:vAlign w:val="center"/>
          </w:tcPr>
          <w:p>
            <w:pPr>
              <w:spacing w:after="40"/>
            </w:pPr>
            <w:r>
              <w:t>When emitted</w:t>
            </w:r>
          </w:p>
        </w:tc>
      </w:tr>
      <w:tr>
        <w:tc>
          <w:tcPr>
            <w:tcW w:type="dxa" w:w="4925"/>
            <w:vAlign w:val="center"/>
          </w:tcPr>
          <w:p>
            <w:pPr>
              <w:spacing w:after="40"/>
            </w:pPr>
            <w:r>
              <w:t>VALIDATION</w:t>
            </w:r>
          </w:p>
        </w:tc>
        <w:tc>
          <w:tcPr>
            <w:tcW w:type="dxa" w:w="4925"/>
            <w:vAlign w:val="center"/>
          </w:tcPr>
          <w:p>
            <w:pPr>
              <w:spacing w:after="40"/>
            </w:pPr>
            <w:r>
              <w:t>Invalid script schema, missing reference, unsupported action or target shape.</w:t>
            </w:r>
          </w:p>
        </w:tc>
      </w:tr>
      <w:tr>
        <w:tc>
          <w:tcPr>
            <w:tcW w:type="dxa" w:w="4925"/>
            <w:vAlign w:val="center"/>
          </w:tcPr>
          <w:p>
            <w:pPr>
              <w:spacing w:after="40"/>
            </w:pPr>
            <w:r>
              <w:t>POLICY_DENIED</w:t>
            </w:r>
          </w:p>
        </w:tc>
        <w:tc>
          <w:tcPr>
            <w:tcW w:type="dxa" w:w="4925"/>
            <w:vAlign w:val="center"/>
          </w:tcPr>
          <w:p>
            <w:pPr>
              <w:spacing w:after="40"/>
            </w:pPr>
            <w:r>
              <w:t>Disallowed application, shell command, serviceRef, operationRef or unauthorized secret use.</w:t>
            </w:r>
          </w:p>
        </w:tc>
      </w:tr>
      <w:tr>
        <w:tc>
          <w:tcPr>
            <w:tcW w:type="dxa" w:w="4925"/>
            <w:vAlign w:val="center"/>
          </w:tcPr>
          <w:p>
            <w:pPr>
              <w:spacing w:after="40"/>
            </w:pPr>
            <w:r>
              <w:t>TARGET_NOT_FOUND</w:t>
            </w:r>
          </w:p>
        </w:tc>
        <w:tc>
          <w:tcPr>
            <w:tcW w:type="dxa" w:w="4925"/>
            <w:vAlign w:val="center"/>
          </w:tcPr>
          <w:p>
            <w:pPr>
              <w:spacing w:after="40"/>
            </w:pPr>
            <w:r>
              <w:t>Named UI/DOM target unavailable within bounded wait.</w:t>
            </w:r>
          </w:p>
        </w:tc>
      </w:tr>
      <w:tr>
        <w:tc>
          <w:tcPr>
            <w:tcW w:type="dxa" w:w="4925"/>
            <w:vAlign w:val="center"/>
          </w:tcPr>
          <w:p>
            <w:pPr>
              <w:spacing w:after="40"/>
            </w:pPr>
            <w:r>
              <w:t>TARGET_AMBIGUOUS</w:t>
            </w:r>
          </w:p>
        </w:tc>
        <w:tc>
          <w:tcPr>
            <w:tcW w:type="dxa" w:w="4925"/>
            <w:vAlign w:val="center"/>
          </w:tcPr>
          <w:p>
            <w:pPr>
              <w:spacing w:after="40"/>
            </w:pPr>
            <w:r>
              <w:t>Multiple viable UI/DOM targets without explicit disambiguation.</w:t>
            </w:r>
          </w:p>
        </w:tc>
      </w:tr>
      <w:tr>
        <w:tc>
          <w:tcPr>
            <w:tcW w:type="dxa" w:w="4925"/>
            <w:vAlign w:val="center"/>
          </w:tcPr>
          <w:p>
            <w:pPr>
              <w:spacing w:after="40"/>
            </w:pPr>
            <w:r>
              <w:t>TIMEOUT</w:t>
            </w:r>
          </w:p>
        </w:tc>
        <w:tc>
          <w:tcPr>
            <w:tcW w:type="dxa" w:w="4925"/>
            <w:vAlign w:val="center"/>
          </w:tcPr>
          <w:p>
            <w:pPr>
              <w:spacing w:after="40"/>
            </w:pPr>
            <w:r>
              <w:t>Step/job deadline exceeded; irreversible outcome uncertainty handled separately.</w:t>
            </w:r>
          </w:p>
        </w:tc>
      </w:tr>
      <w:tr>
        <w:tc>
          <w:tcPr>
            <w:tcW w:type="dxa" w:w="4925"/>
            <w:vAlign w:val="center"/>
          </w:tcPr>
          <w:p>
            <w:pPr>
              <w:spacing w:after="40"/>
            </w:pPr>
            <w:r>
              <w:t>SESSION_UNAVAILABLE</w:t>
            </w:r>
          </w:p>
        </w:tc>
        <w:tc>
          <w:tcPr>
            <w:tcW w:type="dxa" w:w="4925"/>
            <w:vAlign w:val="center"/>
          </w:tcPr>
          <w:p>
            <w:pPr>
              <w:spacing w:after="40"/>
            </w:pPr>
            <w:r>
              <w:t>Required interactive session absent/locked/disconnected.</w:t>
            </w:r>
          </w:p>
        </w:tc>
      </w:tr>
      <w:tr>
        <w:tc>
          <w:tcPr>
            <w:tcW w:type="dxa" w:w="4925"/>
            <w:vAlign w:val="center"/>
          </w:tcPr>
          <w:p>
            <w:pPr>
              <w:spacing w:after="40"/>
            </w:pPr>
            <w:r>
              <w:t>ENVIRONMENT</w:t>
            </w:r>
          </w:p>
        </w:tc>
        <w:tc>
          <w:tcPr>
            <w:tcW w:type="dxa" w:w="4925"/>
            <w:vAlign w:val="center"/>
          </w:tcPr>
          <w:p>
            <w:pPr>
              <w:spacing w:after="40"/>
            </w:pPr>
            <w:r>
              <w:t>Runtime dependency, platform or process resource unavailable.</w:t>
            </w:r>
          </w:p>
        </w:tc>
      </w:tr>
      <w:tr>
        <w:tc>
          <w:tcPr>
            <w:tcW w:type="dxa" w:w="4925"/>
            <w:vAlign w:val="center"/>
          </w:tcPr>
          <w:p>
            <w:pPr>
              <w:spacing w:after="40"/>
            </w:pPr>
            <w:r>
              <w:t>TRANSPORT</w:t>
            </w:r>
          </w:p>
        </w:tc>
        <w:tc>
          <w:tcPr>
            <w:tcW w:type="dxa" w:w="4925"/>
            <w:vAlign w:val="center"/>
          </w:tcPr>
          <w:p>
            <w:pPr>
              <w:spacing w:after="40"/>
            </w:pPr>
            <w:r>
              <w:t>Network, protocol or remote endpoint delivery failure.</w:t>
            </w:r>
          </w:p>
        </w:tc>
      </w:tr>
      <w:tr>
        <w:tc>
          <w:tcPr>
            <w:tcW w:type="dxa" w:w="4925"/>
            <w:vAlign w:val="center"/>
          </w:tcPr>
          <w:p>
            <w:pPr>
              <w:spacing w:after="40"/>
            </w:pPr>
            <w:r>
              <w:t>AUTHENTICATION</w:t>
            </w:r>
          </w:p>
        </w:tc>
        <w:tc>
          <w:tcPr>
            <w:tcW w:type="dxa" w:w="4925"/>
            <w:vAlign w:val="center"/>
          </w:tcPr>
          <w:p>
            <w:pPr>
              <w:spacing w:after="40"/>
            </w:pPr>
            <w:r>
              <w:t>Credential resolution or service authentication failed.</w:t>
            </w:r>
          </w:p>
        </w:tc>
      </w:tr>
      <w:tr>
        <w:tc>
          <w:tcPr>
            <w:tcW w:type="dxa" w:w="4925"/>
            <w:vAlign w:val="center"/>
          </w:tcPr>
          <w:p>
            <w:pPr>
              <w:spacing w:after="40"/>
            </w:pPr>
            <w:r>
              <w:t>CANCELLED</w:t>
            </w:r>
          </w:p>
        </w:tc>
        <w:tc>
          <w:tcPr>
            <w:tcW w:type="dxa" w:w="4925"/>
            <w:vAlign w:val="center"/>
          </w:tcPr>
          <w:p>
            <w:pPr>
              <w:spacing w:after="40"/>
            </w:pPr>
            <w:r>
              <w:t>User/Orchestrator cancellation requested and processed.</w:t>
            </w:r>
          </w:p>
        </w:tc>
      </w:tr>
      <w:tr>
        <w:tc>
          <w:tcPr>
            <w:tcW w:type="dxa" w:w="4925"/>
            <w:vAlign w:val="center"/>
          </w:tcPr>
          <w:p>
            <w:pPr>
              <w:spacing w:after="40"/>
            </w:pPr>
            <w:r>
              <w:t>INTERNAL</w:t>
            </w:r>
          </w:p>
        </w:tc>
        <w:tc>
          <w:tcPr>
            <w:tcW w:type="dxa" w:w="4925"/>
            <w:vAlign w:val="center"/>
          </w:tcPr>
          <w:p>
            <w:pPr>
              <w:spacing w:after="40"/>
            </w:pPr>
            <w:r>
              <w:t>Unhandled Runtime defect; diagnostic captured without secrets.</w:t>
            </w:r>
          </w:p>
        </w:tc>
      </w:tr>
    </w:tbl>
    <w:p>
      <w:r>
        <w:t>The API serviceOutcome categories are a distinct field, not automatically errorCategory values. Runtime-specific detail error codes are namespaced as desktop.*, browser.*, terminal.*; unsupported mappings fail validation.</w:t>
      </w:r>
    </w:p>
    <w:p>
      <w:pPr>
        <w:pStyle w:val="Heading1"/>
      </w:pPr>
      <w:r>
        <w:t>7. Normative run and step state model</w:t>
      </w:r>
    </w:p>
    <w:p>
      <w:r>
        <w:t>Run states: CREATED, QUEUED, LEASED, RUNNING and terminal SUCCEEDED | HANDED_OFF | FAILED | CANCELLED | TIMED_OUT | UNKNOWN. A business rejection is not a run state: a technically successful handled rejection is SUCCEEDED with businessOutcome=REJECTED. UNKNOWN is terminal for the attempt and carries needsAttention=true; further operator investigation is recorded separately, without rewriting history. COMPLETED is not a synonym. All state updates are scoped by runId and attemptId.</w:t>
      </w:r>
    </w:p>
    <w:p>
      <w:pPr/>
      <w:r>
        <w:t>Lease expiry is an observation, not a state transition. On expiry, stop issuing new work for the attempt and reconcile worker journal/status. An unacknowledged LEASED attempt may be requeued only with affirmative proof that no action began; if start/commit cannot be ruled out, finalize UNKNOWN. No second attempt may run concurrently or blindly replay the original side effect.</w:t>
      </w:r>
    </w:p>
    <w:tbl>
      <w:tblPr>
        <w:tblStyle w:val="LightShading-Accent1"/>
        <w:tblW w:type="auto" w:w="0"/>
        <w:tblLook w:firstColumn="1" w:firstRow="1" w:lastColumn="0" w:lastRow="0" w:noHBand="0" w:noVBand="1" w:val="04A0"/>
      </w:tblPr>
      <w:tblGrid>
        <w:gridCol w:w="3283"/>
        <w:gridCol w:w="3283"/>
        <w:gridCol w:w="3283"/>
      </w:tblGrid>
      <w:tr>
        <w:tc>
          <w:tcPr>
            <w:tcW w:type="dxa" w:w="3283"/>
          </w:tcPr>
          <w:p>
            <w:r>
              <w:t>From</w:t>
            </w:r>
          </w:p>
        </w:tc>
        <w:tc>
          <w:tcPr>
            <w:tcW w:type="dxa" w:w="3283"/>
          </w:tcPr>
          <w:p>
            <w:r>
              <w:t>Permitted next states</w:t>
            </w:r>
          </w:p>
        </w:tc>
        <w:tc>
          <w:tcPr>
            <w:tcW w:type="dxa" w:w="3283"/>
          </w:tcPr>
          <w:p>
            <w:r>
              <w:t>Guard / decision</w:t>
            </w:r>
          </w:p>
        </w:tc>
      </w:tr>
      <w:tr>
        <w:tc>
          <w:tcPr>
            <w:tcW w:type="dxa" w:w="3283"/>
          </w:tcPr>
          <w:p>
            <w:r>
              <w:t>CREATED</w:t>
            </w:r>
          </w:p>
        </w:tc>
        <w:tc>
          <w:tcPr>
            <w:tcW w:type="dxa" w:w="3283"/>
          </w:tcPr>
          <w:p>
            <w:r>
              <w:t>QUEUED; CANCELLED; FAILED</w:t>
            </w:r>
          </w:p>
        </w:tc>
        <w:tc>
          <w:tcPr>
            <w:tcW w:type="dxa" w:w="3283"/>
          </w:tcPr>
          <w:p>
            <w:r>
              <w:t>QUEUED after validation/admission; CANCELLED before dispatch; FAILED for definitive pre-execution validation/policy denial.</w:t>
            </w:r>
          </w:p>
        </w:tc>
      </w:tr>
      <w:tr>
        <w:tc>
          <w:tcPr>
            <w:tcW w:type="dxa" w:w="3283"/>
          </w:tcPr>
          <w:p>
            <w:r>
              <w:t>QUEUED</w:t>
            </w:r>
          </w:p>
        </w:tc>
        <w:tc>
          <w:tcPr>
            <w:tcW w:type="dxa" w:w="3283"/>
          </w:tcPr>
          <w:p>
            <w:r>
              <w:t>LEASED; CANCELLED; FAILED</w:t>
            </w:r>
          </w:p>
        </w:tc>
        <w:tc>
          <w:tcPr>
            <w:tcW w:type="dxa" w:w="3283"/>
          </w:tcPr>
          <w:p>
            <w:r>
              <w:t>LEASED upon authenticated grant; CANCELLED on accepted cancellation; FAILED only for definitive unrecoverable validation/policy error.</w:t>
            </w:r>
          </w:p>
        </w:tc>
      </w:tr>
      <w:tr>
        <w:tc>
          <w:tcPr>
            <w:tcW w:type="dxa" w:w="3283"/>
          </w:tcPr>
          <w:p>
            <w:r>
              <w:t>LEASED</w:t>
            </w:r>
          </w:p>
        </w:tc>
        <w:tc>
          <w:tcPr>
            <w:tcW w:type="dxa" w:w="3283"/>
          </w:tcPr>
          <w:p>
            <w:r>
              <w:t>RUNNING; QUEUED; CANCELLED; TIMED_OUT; UNKNOWN</w:t>
            </w:r>
          </w:p>
        </w:tc>
        <w:tc>
          <w:tcPr>
            <w:tcW w:type="dxa" w:w="3283"/>
          </w:tcPr>
          <w:p>
            <w:r>
              <w:t>RUNNING after accepted lease and start. Return to QUEUED ONLY when no execution started/side effect is provably possible; fence abandoned attempt. Cancellation/time deadline with proven non-start -&gt; CANCELLED/TIMED_OUT. Uncertain start -&gt; UNKNOWN.</w:t>
            </w:r>
          </w:p>
        </w:tc>
      </w:tr>
      <w:tr>
        <w:tc>
          <w:tcPr>
            <w:tcW w:type="dxa" w:w="3283"/>
          </w:tcPr>
          <w:p>
            <w:r>
              <w:t>RUNNING</w:t>
            </w:r>
          </w:p>
        </w:tc>
        <w:tc>
          <w:tcPr>
            <w:tcW w:type="dxa" w:w="3283"/>
          </w:tcPr>
          <w:p>
            <w:r>
              <w:t>SUCCEEDED; HANDED_OFF; FAILED; CANCELLED; TIMED_OUT; UNKNOWN</w:t>
            </w:r>
          </w:p>
        </w:tc>
        <w:tc>
          <w:tcPr>
            <w:tcW w:type="dxa" w:w="3283"/>
          </w:tcPr>
          <w:p>
            <w:r>
              <w:t>SUCCEEDED verified completion; HANDED_OFF confirmed async acknowledgement; FAILED proven failure; CANCELLED proven safe cancellation; TIMED_OUT only when safe noncommitment is known; UNKNOWN for unresolved effectful execution.</w:t>
            </w:r>
          </w:p>
        </w:tc>
      </w:tr>
      <w:tr>
        <w:tc>
          <w:tcPr>
            <w:tcW w:type="dxa" w:w="3283"/>
          </w:tcPr>
          <w:p>
            <w:r>
              <w:t>Any terminal</w:t>
            </w:r>
          </w:p>
        </w:tc>
        <w:tc>
          <w:tcPr>
            <w:tcW w:type="dxa" w:w="3283"/>
          </w:tcPr>
          <w:p>
            <w:r>
              <w:t>No outgoing transitions</w:t>
            </w:r>
          </w:p>
        </w:tc>
        <w:tc>
          <w:tcPr>
            <w:tcW w:type="dxa" w:w="3283"/>
          </w:tcPr>
          <w:p>
            <w:r>
              <w:t>Terminal states are immutable for the attempt; duplicate/late messages are idempotent and fenced.</w:t>
            </w:r>
          </w:p>
        </w:tc>
      </w:tr>
    </w:tbl>
    <w:p>
      <w:r>
        <w:t>Step states: PENDING → RUNNING → SUCCEEDED | FAILED | SKIPPED | TIMED_OUT | CANCELLED | UNKNOWN. Each outcome includes errorCode (if any), errorCategory, observed postcondition and evidence references. Runtime-specific codes are namespaced, while common categories stay stable. SKIPPED is emitted exclusively for an unselected control.branch arm; a false precondition waits within timeout and then fails, never silently skips.</w:t>
      </w:r>
    </w:p>
    <w:tbl>
      <w:tblPr>
        <w:tblStyle w:val="LightShading-Accent1"/>
        <w:tblW w:type="auto" w:w="0"/>
        <w:jc w:val="center"/>
        <w:tblLook w:firstColumn="1" w:firstRow="1" w:lastColumn="0" w:lastRow="0" w:noHBand="0" w:noVBand="1" w:val="04A0"/>
      </w:tblPr>
      <w:tblGrid>
        <w:gridCol w:w="4925"/>
        <w:gridCol w:w="4925"/>
      </w:tblGrid>
      <w:tr>
        <w:trPr>
          <w:tblHeader w:val="true"/>
        </w:trPr>
        <w:tc>
          <w:tcPr>
            <w:tcW w:type="dxa" w:w="4925"/>
            <w:shd w:fill="EAF3F6"/>
          </w:tcPr>
          <w:p>
            <w:r>
              <w:t>Standard result field</w:t>
            </w:r>
          </w:p>
        </w:tc>
        <w:tc>
          <w:tcPr>
            <w:tcW w:type="dxa" w:w="4925"/>
            <w:shd w:fill="EAF3F6"/>
          </w:tcPr>
          <w:p>
            <w:r>
              <w:t>Definition</w:t>
            </w:r>
          </w:p>
        </w:tc>
      </w:tr>
      <w:tr>
        <w:tc>
          <w:tcPr>
            <w:tcW w:type="dxa" w:w="4925"/>
            <w:vAlign w:val="center"/>
          </w:tcPr>
          <w:p>
            <w:r>
              <w:rPr>
                <w:b/>
              </w:rPr>
              <w:t>runId, attemptId, workerId</w:t>
            </w:r>
          </w:p>
        </w:tc>
        <w:tc>
          <w:tcPr>
            <w:tcW w:type="dxa" w:w="4925"/>
            <w:vAlign w:val="center"/>
          </w:tcPr>
          <w:p>
            <w:r>
              <w:t>Immutable assignment identity; attempt fencing prevents false duplicate commits.</w:t>
            </w:r>
          </w:p>
        </w:tc>
      </w:tr>
      <w:tr>
        <w:tc>
          <w:tcPr>
            <w:tcW w:type="dxa" w:w="4925"/>
            <w:vAlign w:val="center"/>
          </w:tcPr>
          <w:p>
            <w:r>
              <w:rPr>
                <w:b/>
              </w:rPr>
              <w:t>automationId, version, schemaVersion</w:t>
            </w:r>
          </w:p>
        </w:tc>
        <w:tc>
          <w:tcPr>
            <w:tcW w:type="dxa" w:w="4925"/>
            <w:vAlign w:val="center"/>
          </w:tcPr>
          <w:p>
            <w:r>
              <w:t>Exact pinned definition.</w:t>
            </w:r>
          </w:p>
        </w:tc>
      </w:tr>
      <w:tr>
        <w:tc>
          <w:tcPr>
            <w:tcW w:type="dxa" w:w="4925"/>
            <w:vAlign w:val="center"/>
          </w:tcPr>
          <w:p>
            <w:r>
              <w:rPr>
                <w:b/>
              </w:rPr>
              <w:t>correlationId, businessJobId?</w:t>
            </w:r>
          </w:p>
        </w:tc>
        <w:tc>
          <w:tcPr>
            <w:tcW w:type="dxa" w:w="4925"/>
            <w:vAlign w:val="center"/>
          </w:tcPr>
          <w:p>
            <w:r>
              <w:t>Cross-boundary linkage; businessJobId set when service provides one.</w:t>
            </w:r>
          </w:p>
        </w:tc>
      </w:tr>
      <w:tr>
        <w:tc>
          <w:tcPr>
            <w:tcW w:type="dxa" w:w="4925"/>
            <w:vAlign w:val="center"/>
          </w:tcPr>
          <w:p>
            <w:r>
              <w:rPr>
                <w:b/>
              </w:rPr>
              <w:t>state, businessOutcome?</w:t>
            </w:r>
          </w:p>
        </w:tc>
        <w:tc>
          <w:tcPr>
            <w:tcW w:type="dxa" w:w="4925"/>
            <w:vAlign w:val="center"/>
          </w:tcPr>
          <w:p>
            <w:r>
              <w:t>Technical run result separate from domain outcome.</w:t>
            </w:r>
          </w:p>
        </w:tc>
      </w:tr>
      <w:tr>
        <w:tc>
          <w:tcPr>
            <w:tcW w:type="dxa" w:w="4925"/>
            <w:vAlign w:val="center"/>
          </w:tcPr>
          <w:p>
            <w:r>
              <w:rPr>
                <w:b/>
              </w:rPr>
              <w:t>startedAt, finishedAt, lastHeartbeatAt</w:t>
            </w:r>
          </w:p>
        </w:tc>
        <w:tc>
          <w:tcPr>
            <w:tcW w:type="dxa" w:w="4925"/>
            <w:vAlign w:val="center"/>
          </w:tcPr>
          <w:p>
            <w:r>
              <w:t>ISO timestamps in UTC; provide monotonic action durations separately.</w:t>
            </w:r>
          </w:p>
        </w:tc>
      </w:tr>
      <w:tr>
        <w:tc>
          <w:tcPr>
            <w:tcW w:type="dxa" w:w="4925"/>
            <w:vAlign w:val="center"/>
          </w:tcPr>
          <w:p>
            <w:r>
              <w:rPr>
                <w:b/>
              </w:rPr>
              <w:t>stepResults[]</w:t>
            </w:r>
          </w:p>
        </w:tc>
        <w:tc>
          <w:tcPr>
            <w:tcW w:type="dxa" w:w="4925"/>
            <w:vAlign w:val="center"/>
          </w:tcPr>
          <w:p>
            <w:r>
              <w:t>Each step ID, state, error category/code, attempt count and evidence references.</w:t>
            </w:r>
          </w:p>
        </w:tc>
      </w:tr>
      <w:tr>
        <w:tc>
          <w:tcPr>
            <w:tcW w:type="dxa" w:w="4925"/>
            <w:vAlign w:val="center"/>
          </w:tcPr>
          <w:p>
            <w:r>
              <w:rPr>
                <w:b/>
              </w:rPr>
              <w:t>unknownReason, needsAttention?</w:t>
            </w:r>
          </w:p>
        </w:tc>
        <w:tc>
          <w:tcPr>
            <w:tcW w:type="dxa" w:w="4925"/>
            <w:vAlign w:val="center"/>
          </w:tcPr>
          <w:p>
            <w:r>
              <w:t>Explicit distinction between proven failure and unproven completion.</w:t>
            </w:r>
          </w:p>
        </w:tc>
      </w:tr>
    </w:tbl>
    <w:p/>
    <w:p>
      <w:pPr>
        <w:pStyle w:val="Heading1"/>
      </w:pPr>
      <w:r>
        <w:t>8. Orchestrator / worker messages</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Logical message</w:t>
            </w:r>
          </w:p>
        </w:tc>
        <w:tc>
          <w:tcPr>
            <w:tcW w:type="dxa" w:w="3283"/>
            <w:shd w:fill="EAF3F6"/>
          </w:tcPr>
          <w:p>
            <w:r>
              <w:t>Direction</w:t>
            </w:r>
          </w:p>
        </w:tc>
        <w:tc>
          <w:tcPr>
            <w:tcW w:type="dxa" w:w="3283"/>
            <w:shd w:fill="EAF3F6"/>
          </w:tcPr>
          <w:p>
            <w:r>
              <w:t>Minimum fields / meaning</w:t>
            </w:r>
          </w:p>
        </w:tc>
      </w:tr>
      <w:tr>
        <w:tc>
          <w:tcPr>
            <w:tcW w:type="dxa" w:w="3283"/>
            <w:vAlign w:val="center"/>
          </w:tcPr>
          <w:p>
            <w:r>
              <w:rPr>
                <w:b/>
              </w:rPr>
              <w:t>register / capability</w:t>
            </w:r>
          </w:p>
        </w:tc>
        <w:tc>
          <w:tcPr>
            <w:tcW w:type="dxa" w:w="3283"/>
            <w:vAlign w:val="center"/>
          </w:tcPr>
          <w:p>
            <w:r>
              <w:t>Worker → Orchestrator</w:t>
            </w:r>
          </w:p>
        </w:tc>
        <w:tc>
          <w:tcPr>
            <w:tcW w:type="dxa" w:w="3283"/>
            <w:vAlign w:val="center"/>
          </w:tcPr>
          <w:p>
            <w:r>
              <w:t>workerId, runtimeType, workerVersion, protocolVersion, supported schema majors, capability digest, host/session class, interactiveSessionId when headed, health.</w:t>
            </w:r>
          </w:p>
        </w:tc>
      </w:tr>
      <w:tr>
        <w:tc>
          <w:tcPr>
            <w:tcW w:type="dxa" w:w="3283"/>
            <w:vAlign w:val="center"/>
          </w:tcPr>
          <w:p>
            <w:r>
              <w:rPr>
                <w:b/>
              </w:rPr>
              <w:t>pullJob</w:t>
            </w:r>
          </w:p>
        </w:tc>
        <w:tc>
          <w:tcPr>
            <w:tcW w:type="dxa" w:w="3283"/>
            <w:vAlign w:val="center"/>
          </w:tcPr>
          <w:p>
            <w:r>
              <w:t>Worker → Orchestrator</w:t>
            </w:r>
          </w:p>
        </w:tc>
        <w:tc>
          <w:tcPr>
            <w:tcW w:type="dxa" w:w="3283"/>
            <w:vAlign w:val="center"/>
          </w:tcPr>
          <w:p>
            <w:r>
              <w:t>workerId, availability, lastSeenAttemptId; authenticated outbound request.</w:t>
            </w:r>
          </w:p>
        </w:tc>
      </w:tr>
      <w:tr>
        <w:tc>
          <w:tcPr>
            <w:tcW w:type="dxa" w:w="3283"/>
            <w:vAlign w:val="center"/>
          </w:tcPr>
          <w:p>
            <w:r>
              <w:rPr>
                <w:b/>
              </w:rPr>
              <w:t>leaseGranted</w:t>
            </w:r>
          </w:p>
        </w:tc>
        <w:tc>
          <w:tcPr>
            <w:tcW w:type="dxa" w:w="3283"/>
            <w:vAlign w:val="center"/>
          </w:tcPr>
          <w:p>
            <w:r>
              <w:t>Orchestrator → worker as pull response</w:t>
            </w:r>
          </w:p>
        </w:tc>
        <w:tc>
          <w:tcPr>
            <w:tcW w:type="dxa" w:w="3283"/>
            <w:vAlign w:val="center"/>
          </w:tcPr>
          <w:p>
            <w:r>
              <w:t>runId, attemptId, immutable artifact ref/hash, leaseId, deadline, input references.</w:t>
            </w:r>
          </w:p>
        </w:tc>
      </w:tr>
      <w:tr>
        <w:tc>
          <w:tcPr>
            <w:tcW w:type="dxa" w:w="3283"/>
            <w:vAlign w:val="center"/>
          </w:tcPr>
          <w:p>
            <w:r>
              <w:rPr>
                <w:b/>
              </w:rPr>
              <w:t>leaseAccepted</w:t>
            </w:r>
          </w:p>
        </w:tc>
        <w:tc>
          <w:tcPr>
            <w:tcW w:type="dxa" w:w="3283"/>
            <w:vAlign w:val="center"/>
          </w:tcPr>
          <w:p>
            <w:r>
              <w:t>Worker → Orchestrator</w:t>
            </w:r>
          </w:p>
        </w:tc>
        <w:tc>
          <w:tcPr>
            <w:tcW w:type="dxa" w:w="3283"/>
            <w:vAlign w:val="center"/>
          </w:tcPr>
          <w:p>
            <w:r>
              <w:t>runId, attemptId, leaseId, idempotent acknowledgement.</w:t>
            </w:r>
          </w:p>
        </w:tc>
      </w:tr>
      <w:tr>
        <w:tc>
          <w:tcPr>
            <w:tcW w:type="dxa" w:w="3283"/>
            <w:vAlign w:val="center"/>
          </w:tcPr>
          <w:p>
            <w:r>
              <w:rPr>
                <w:b/>
              </w:rPr>
              <w:t>heartbeat</w:t>
            </w:r>
          </w:p>
        </w:tc>
        <w:tc>
          <w:tcPr>
            <w:tcW w:type="dxa" w:w="3283"/>
            <w:vAlign w:val="center"/>
          </w:tcPr>
          <w:p>
            <w:r>
              <w:t>Worker → Orchestrator</w:t>
            </w:r>
          </w:p>
        </w:tc>
        <w:tc>
          <w:tcPr>
            <w:tcW w:type="dxa" w:w="3283"/>
            <w:vAlign w:val="center"/>
          </w:tcPr>
          <w:p>
            <w:r>
              <w:t>workerId, runId, attemptId, leaseId, progress, sequence/timestamp.</w:t>
            </w:r>
          </w:p>
        </w:tc>
      </w:tr>
      <w:tr>
        <w:tc>
          <w:tcPr>
            <w:tcW w:type="dxa" w:w="3283"/>
            <w:vAlign w:val="center"/>
          </w:tcPr>
          <w:p>
            <w:r>
              <w:rPr>
                <w:b/>
              </w:rPr>
              <w:t>status / finalResult</w:t>
            </w:r>
          </w:p>
        </w:tc>
        <w:tc>
          <w:tcPr>
            <w:tcW w:type="dxa" w:w="3283"/>
            <w:vAlign w:val="center"/>
          </w:tcPr>
          <w:p>
            <w:r>
              <w:t>Worker → Orchestrator</w:t>
            </w:r>
          </w:p>
        </w:tc>
        <w:tc>
          <w:tcPr>
            <w:tcW w:type="dxa" w:w="3283"/>
            <w:vAlign w:val="center"/>
          </w:tcPr>
          <w:p>
            <w:r>
              <w:t>runId, attemptId, state, outcome, step/evidence refs, journal checkpoint.</w:t>
            </w:r>
          </w:p>
        </w:tc>
      </w:tr>
      <w:tr>
        <w:tc>
          <w:tcPr>
            <w:tcW w:type="dxa" w:w="3283"/>
            <w:vAlign w:val="center"/>
          </w:tcPr>
          <w:p>
            <w:r>
              <w:rPr>
                <w:b/>
              </w:rPr>
              <w:t>cancelRequest</w:t>
            </w:r>
          </w:p>
        </w:tc>
        <w:tc>
          <w:tcPr>
            <w:tcW w:type="dxa" w:w="3283"/>
            <w:vAlign w:val="center"/>
          </w:tcPr>
          <w:p>
            <w:r>
              <w:t>Orchestrator → worker on next poll/heartbeat response</w:t>
            </w:r>
          </w:p>
        </w:tc>
        <w:tc>
          <w:tcPr>
            <w:tcW w:type="dxa" w:w="3283"/>
            <w:vAlign w:val="center"/>
          </w:tcPr>
          <w:p>
            <w:r>
              <w:t>runId, attemptId, reason, requestedAt; no forced unsafe action replay.</w:t>
            </w:r>
          </w:p>
        </w:tc>
      </w:tr>
      <w:tr>
        <w:tc>
          <w:tcPr>
            <w:tcW w:type="dxa" w:w="3283"/>
            <w:vAlign w:val="center"/>
          </w:tcPr>
          <w:p>
            <w:r>
              <w:rPr>
                <w:b/>
              </w:rPr>
              <w:t>reconcile</w:t>
            </w:r>
          </w:p>
        </w:tc>
        <w:tc>
          <w:tcPr>
            <w:tcW w:type="dxa" w:w="3283"/>
            <w:vAlign w:val="center"/>
          </w:tcPr>
          <w:p>
            <w:r>
              <w:t>Bidirectional via worker outbound request</w:t>
            </w:r>
          </w:p>
        </w:tc>
        <w:tc>
          <w:tcPr>
            <w:tcW w:type="dxa" w:w="3283"/>
            <w:vAlign w:val="center"/>
          </w:tcPr>
          <w:p>
            <w:r>
              <w:t>Known run/attempt, journal state, last applied status sequence; return resolved or UNKNOWN.</w:t>
            </w:r>
          </w:p>
        </w:tc>
      </w:tr>
    </w:tbl>
    <w:p/>
    <w:p>
      <w:r>
        <w:t>Protocol rules: all worker channels are Runtime-initiated outbound connections; Orchestrator offers jobs through pull responses. Lease expiration is never proof that non-idempotent UI/CLI action failed. An expired attempt must be fenced and reconciled before a new attempt is dispatched. Retried final-result delivery must be idempotent. The wire transport (HTTP polling/long-poll) is not frozen here; semantic contract is mandatory. The worker registration must declare protocolVersion and interactiveSessionId where applicable; compatibility is current/previous protocol major. Headless workers omit interactiveSessionId.</w:t>
      </w:r>
    </w:p>
    <w:p>
      <w:pPr>
        <w:pStyle w:val="Heading2"/>
      </w:pPr>
      <w:r>
        <w:t>8.1 Protocol compatibility and telemetry fields</w:t>
      </w:r>
    </w:p>
    <w:p>
      <w:r>
        <w:t>Register includes protocolVersion (major.minor); Orchestrator and worker must support the current and immediately previous major during rolling deployments. interactiveSessionId is mandatory only for headed workers that can affect foreground input. Scheduler enforces one active interactive-input lease per session, in addition to one run per worker.</w:t>
      </w:r>
    </w:p>
    <w:tbl>
      <w:tblPr>
        <w:tblStyle w:val="LightShading-Accent1"/>
        <w:tblW w:type="auto" w:w="0"/>
        <w:jc w:val="center"/>
        <w:tblLook w:firstColumn="1" w:firstRow="1" w:lastColumn="0" w:lastRow="0" w:noHBand="0" w:noVBand="1" w:val="04A0"/>
      </w:tblPr>
      <w:tblGrid>
        <w:gridCol w:w="4925"/>
        <w:gridCol w:w="4925"/>
      </w:tblGrid>
      <w:tr>
        <w:tc>
          <w:tcPr>
            <w:tcW w:type="dxa" w:w="4925"/>
            <w:vAlign w:val="center"/>
          </w:tcPr>
          <w:p>
            <w:pPr>
              <w:spacing w:after="40"/>
            </w:pPr>
            <w:r>
              <w:t>Telemetry field</w:t>
            </w:r>
          </w:p>
        </w:tc>
        <w:tc>
          <w:tcPr>
            <w:tcW w:type="dxa" w:w="4925"/>
            <w:vAlign w:val="center"/>
          </w:tcPr>
          <w:p>
            <w:pPr>
              <w:spacing w:after="40"/>
            </w:pPr>
            <w:r>
              <w:t>Requirement</w:t>
            </w:r>
          </w:p>
        </w:tc>
      </w:tr>
      <w:tr>
        <w:tc>
          <w:tcPr>
            <w:tcW w:type="dxa" w:w="4925"/>
            <w:vAlign w:val="center"/>
          </w:tcPr>
          <w:p>
            <w:pPr>
              <w:spacing w:after="40"/>
            </w:pPr>
            <w:r>
              <w:t>timeUtc</w:t>
            </w:r>
          </w:p>
        </w:tc>
        <w:tc>
          <w:tcPr>
            <w:tcW w:type="dxa" w:w="4925"/>
            <w:vAlign w:val="center"/>
          </w:tcPr>
          <w:p>
            <w:pPr>
              <w:spacing w:after="40"/>
            </w:pPr>
            <w:r>
              <w:t>UTC timestamp; monotonic duration separately.</w:t>
            </w:r>
          </w:p>
        </w:tc>
      </w:tr>
      <w:tr>
        <w:tc>
          <w:tcPr>
            <w:tcW w:type="dxa" w:w="4925"/>
            <w:vAlign w:val="center"/>
          </w:tcPr>
          <w:p>
            <w:pPr>
              <w:spacing w:after="40"/>
            </w:pPr>
            <w:r>
              <w:t>eventType</w:t>
            </w:r>
          </w:p>
        </w:tc>
        <w:tc>
          <w:tcPr>
            <w:tcW w:type="dxa" w:w="4925"/>
            <w:vAlign w:val="center"/>
          </w:tcPr>
          <w:p>
            <w:pPr>
              <w:spacing w:after="40"/>
            </w:pPr>
            <w:r>
              <w:t>e.g. worker.registered, run.leased, step.completed, run.finalized, lease.reconciled.</w:t>
            </w:r>
          </w:p>
        </w:tc>
      </w:tr>
      <w:tr>
        <w:tc>
          <w:tcPr>
            <w:tcW w:type="dxa" w:w="4925"/>
            <w:vAlign w:val="center"/>
          </w:tcPr>
          <w:p>
            <w:pPr>
              <w:spacing w:after="40"/>
            </w:pPr>
            <w:r>
              <w:t>workerId / workerVersion / runtimeType</w:t>
            </w:r>
          </w:p>
        </w:tc>
        <w:tc>
          <w:tcPr>
            <w:tcW w:type="dxa" w:w="4925"/>
            <w:vAlign w:val="center"/>
          </w:tcPr>
          <w:p>
            <w:pPr>
              <w:spacing w:after="40"/>
            </w:pPr>
            <w:r>
              <w:t>Every worker event; runtimeType enum desktop/browser/terminal.</w:t>
            </w:r>
          </w:p>
        </w:tc>
      </w:tr>
      <w:tr>
        <w:tc>
          <w:tcPr>
            <w:tcW w:type="dxa" w:w="4925"/>
            <w:vAlign w:val="center"/>
          </w:tcPr>
          <w:p>
            <w:pPr>
              <w:spacing w:after="40"/>
            </w:pPr>
            <w:r>
              <w:t>runId / attemptId / stepId?</w:t>
            </w:r>
          </w:p>
        </w:tc>
        <w:tc>
          <w:tcPr>
            <w:tcW w:type="dxa" w:w="4925"/>
            <w:vAlign w:val="center"/>
          </w:tcPr>
          <w:p>
            <w:pPr>
              <w:spacing w:after="40"/>
            </w:pPr>
            <w:r>
              <w:t>Stable execution correlation; stepId when a step is relevant.</w:t>
            </w:r>
          </w:p>
        </w:tc>
      </w:tr>
      <w:tr>
        <w:tc>
          <w:tcPr>
            <w:tcW w:type="dxa" w:w="4925"/>
            <w:vAlign w:val="center"/>
          </w:tcPr>
          <w:p>
            <w:pPr>
              <w:spacing w:after="40"/>
            </w:pPr>
            <w:r>
              <w:t>correlationId / businessJobId?</w:t>
            </w:r>
          </w:p>
        </w:tc>
        <w:tc>
          <w:tcPr>
            <w:tcW w:type="dxa" w:w="4925"/>
            <w:vAlign w:val="center"/>
          </w:tcPr>
          <w:p>
            <w:pPr>
              <w:spacing w:after="40"/>
            </w:pPr>
            <w:r>
              <w:t>Link external service handoff and callback without payload leakage.</w:t>
            </w:r>
          </w:p>
        </w:tc>
      </w:tr>
      <w:tr>
        <w:tc>
          <w:tcPr>
            <w:tcW w:type="dxa" w:w="4925"/>
            <w:vAlign w:val="center"/>
          </w:tcPr>
          <w:p>
            <w:pPr>
              <w:spacing w:after="40"/>
            </w:pPr>
            <w:r>
              <w:t>leaseId / eventSequence / errorCategory?</w:t>
            </w:r>
          </w:p>
        </w:tc>
        <w:tc>
          <w:tcPr>
            <w:tcW w:type="dxa" w:w="4925"/>
            <w:vAlign w:val="center"/>
          </w:tcPr>
          <w:p>
            <w:pPr>
              <w:spacing w:after="40"/>
            </w:pPr>
            <w:r>
              <w:t>Audit and attempt fencing; ordered worker-side event counter.</w:t>
            </w:r>
          </w:p>
        </w:tc>
      </w:tr>
      <w:tr>
        <w:tc>
          <w:tcPr>
            <w:tcW w:type="dxa" w:w="4925"/>
            <w:vAlign w:val="center"/>
          </w:tcPr>
          <w:p>
            <w:pPr>
              <w:spacing w:after="40"/>
            </w:pPr>
            <w:r>
              <w:t>serviceRef / operationRef?</w:t>
            </w:r>
          </w:p>
        </w:tc>
        <w:tc>
          <w:tcPr>
            <w:tcW w:type="dxa" w:w="4925"/>
            <w:vAlign w:val="center"/>
          </w:tcPr>
          <w:p>
            <w:pPr>
              <w:spacing w:after="40"/>
            </w:pPr>
            <w:r>
              <w:t>Logical IDs only; never raw tokens, credentials or sensitive bodies.</w:t>
            </w:r>
          </w:p>
        </w:tc>
      </w:tr>
    </w:tbl>
    <w:p>
      <w:pPr>
        <w:pStyle w:val="Heading1"/>
      </w:pPr>
      <w:r>
        <w:t>9. Business-service integration and continuation</w:t>
      </w:r>
    </w:p>
    <w:p>
      <w:r>
        <w:t>A Runtime may invoke only a registered custom business-service operation via service.invoke and continue on a definite synchronous result. For asynchronous work it submits with correlation/idempotency keys, receives a businessJobId and closes as HANDED_OFF. The external custom service sends an authenticated event to the Orchestrator with eventId, eventType, businessJobId, correlationId and resultRef; it never chooses the continuation script. The Orchestrator authenticates, deduplicates, verifies event eligibility, and looks up an internally configured continuation. Business services may call other third-party APIs independently; Tracto does not.</w:t>
      </w:r>
    </w:p>
    <w:p>
      <w:pPr/>
      <w:r>
        <w:t>Configured technical continuation (v1): When a source run reaches SUCCEEDED, the Orchestrator may create exactly one new run from a preapproved static continuation rule keyed to the source automation/version. The target automation, runtimeType, allowed input reference mapping and execution policy are owned and approved inside Orchestrator configuration. No service response, business field, returned actionCode or source script may dynamically choose the target. Deduplicate by source runId + continuation rule ID. This provides one bounded next run, not branching workflow graphs, domain compensation or a business process engine.</w:t>
      </w:r>
    </w:p>
    <w:tbl>
      <w:tblPr>
        <w:tblStyle w:val="LightShading-Accent1"/>
        <w:tblW w:type="auto" w:w="0"/>
        <w:jc w:val="center"/>
        <w:tblLook w:firstColumn="1" w:firstRow="1" w:lastColumn="0" w:lastRow="0" w:noHBand="0" w:noVBand="1" w:val="04A0"/>
      </w:tblPr>
      <w:tblGrid>
        <w:gridCol w:w="4925"/>
        <w:gridCol w:w="4925"/>
      </w:tblGrid>
      <w:tr>
        <w:trPr>
          <w:tblHeader w:val="true"/>
        </w:trPr>
        <w:tc>
          <w:tcPr>
            <w:tcW w:type="dxa" w:w="4925"/>
            <w:shd w:fill="EAF3F6"/>
          </w:tcPr>
          <w:p>
            <w:r>
              <w:t>External callback field</w:t>
            </w:r>
          </w:p>
        </w:tc>
        <w:tc>
          <w:tcPr>
            <w:tcW w:type="dxa" w:w="4925"/>
            <w:shd w:fill="EAF3F6"/>
          </w:tcPr>
          <w:p>
            <w:r>
              <w:t>Purpose</w:t>
            </w:r>
          </w:p>
        </w:tc>
      </w:tr>
      <w:tr>
        <w:tc>
          <w:tcPr>
            <w:tcW w:type="dxa" w:w="4925"/>
            <w:vAlign w:val="center"/>
          </w:tcPr>
          <w:p>
            <w:r>
              <w:rPr>
                <w:b/>
              </w:rPr>
              <w:t>eventId</w:t>
            </w:r>
          </w:p>
        </w:tc>
        <w:tc>
          <w:tcPr>
            <w:tcW w:type="dxa" w:w="4925"/>
            <w:vAlign w:val="center"/>
          </w:tcPr>
          <w:p>
            <w:r>
              <w:t>Unique replay/deduplication identifier.</w:t>
            </w:r>
          </w:p>
        </w:tc>
      </w:tr>
      <w:tr>
        <w:tc>
          <w:tcPr>
            <w:tcW w:type="dxa" w:w="4925"/>
            <w:vAlign w:val="center"/>
          </w:tcPr>
          <w:p>
            <w:r>
              <w:rPr>
                <w:b/>
              </w:rPr>
              <w:t>eventType</w:t>
            </w:r>
          </w:p>
        </w:tc>
        <w:tc>
          <w:tcPr>
            <w:tcW w:type="dxa" w:w="4925"/>
            <w:vAlign w:val="center"/>
          </w:tcPr>
          <w:p>
            <w:r>
              <w:t>Published domain event type; matched against internally configured continuation rule.</w:t>
            </w:r>
          </w:p>
        </w:tc>
      </w:tr>
      <w:tr>
        <w:tc>
          <w:tcPr>
            <w:tcW w:type="dxa" w:w="4925"/>
            <w:vAlign w:val="center"/>
          </w:tcPr>
          <w:p>
            <w:r>
              <w:rPr>
                <w:b/>
              </w:rPr>
              <w:t>businessJobId</w:t>
            </w:r>
          </w:p>
        </w:tc>
        <w:tc>
          <w:tcPr>
            <w:tcW w:type="dxa" w:w="4925"/>
            <w:vAlign w:val="center"/>
          </w:tcPr>
          <w:p>
            <w:r>
              <w:t>External service-owned authoritative business execution identifier.</w:t>
            </w:r>
          </w:p>
        </w:tc>
      </w:tr>
      <w:tr>
        <w:tc>
          <w:tcPr>
            <w:tcW w:type="dxa" w:w="4925"/>
            <w:vAlign w:val="center"/>
          </w:tcPr>
          <w:p>
            <w:r>
              <w:rPr>
                <w:b/>
              </w:rPr>
              <w:t>correlationId</w:t>
            </w:r>
          </w:p>
        </w:tc>
        <w:tc>
          <w:tcPr>
            <w:tcW w:type="dxa" w:w="4925"/>
            <w:vAlign w:val="center"/>
          </w:tcPr>
          <w:p>
            <w:r>
              <w:t>Associates business event with originating Tracto run.</w:t>
            </w:r>
          </w:p>
        </w:tc>
      </w:tr>
      <w:tr>
        <w:tc>
          <w:tcPr>
            <w:tcW w:type="dxa" w:w="4925"/>
            <w:vAlign w:val="center"/>
          </w:tcPr>
          <w:p>
            <w:r>
              <w:rPr>
                <w:b/>
              </w:rPr>
              <w:t>resultRef</w:t>
            </w:r>
          </w:p>
        </w:tc>
        <w:tc>
          <w:tcPr>
            <w:tcW w:type="dxa" w:w="4925"/>
            <w:vAlign w:val="center"/>
          </w:tcPr>
          <w:p>
            <w:r>
              <w:t>Authorized opaque pointer to business result; not executable or a script identifier.</w:t>
            </w:r>
          </w:p>
        </w:tc>
      </w:tr>
      <w:tr>
        <w:tc>
          <w:tcPr>
            <w:tcW w:type="dxa" w:w="4925"/>
            <w:vAlign w:val="center"/>
          </w:tcPr>
          <w:p>
            <w:r>
              <w:rPr>
                <w:b/>
              </w:rPr>
              <w:t>signature / keyId / timestamp / nonce</w:t>
            </w:r>
          </w:p>
        </w:tc>
        <w:tc>
          <w:tcPr>
            <w:tcW w:type="dxa" w:w="4925"/>
            <w:vAlign w:val="center"/>
          </w:tcPr>
          <w:p>
            <w:r>
              <w:t>Authentication and replay protection carried in approved headers/envelope, not a boolean authenticated field.</w:t>
            </w:r>
          </w:p>
        </w:tc>
      </w:tr>
    </w:tbl>
    <w:p/>
    <w:p>
      <w:pPr>
        <w:pStyle w:val="Heading1"/>
      </w:pPr>
      <w:r>
        <w:t>10. Security, secrets and evidence contract</w:t>
      </w:r>
    </w:p>
    <w:p>
      <w:pPr>
        <w:pStyle w:val="ListBullet"/>
      </w:pPr>
      <w:r>
        <w:t>The Orchestrator and automation artifacts carry only secretRef, never plaintext. Authorized Windows-side Runtime processes resolve Tracto-managed credentials at point of use through a connected vault or DPAPI CurrentUser in isolated mode. Linux containers cannot directly access Windows DPAPI; any Linux worker needing a secret must use an approved Windows-side resolution/execution boundary, without passing Tracto secrets into the Linux Orchestrator.</w:t>
      </w:r>
    </w:p>
    <w:p>
      <w:pPr>
        <w:pStyle w:val="ListBullet"/>
      </w:pPr>
      <w:r>
        <w:t>Business-service containers own their own credentials; they are not Tracto vault tenants. Secrets may be sent only to their approved destination by the Runtime, and never copied into Tracto Linux containers, job payloads or telemetry.</w:t>
      </w:r>
    </w:p>
    <w:p>
      <w:pPr>
        <w:pStyle w:val="ListBullet"/>
      </w:pPr>
      <w:r>
        <w:t>Signed script package import (including isolated offline import) verifies trusted signer, signed manifest/hash, unchanged payload, schema major, runtimeType, declared policyRefs, target capability and allowlists before registry publication. Unsigned, tampered, mismatched or incompatible bundles are rejected atomically with no executable artifact published; source bundle and import decision are audited.</w:t>
      </w:r>
    </w:p>
    <w:p>
      <w:pPr>
        <w:pStyle w:val="ListBullet"/>
      </w:pPr>
      <w:r>
        <w:t>Every worker enforces app/navigation/command policy and serviceRef allowlists, identity controls, telemetry and redaction. Browser navigation to authorized websites is UI automation; a direct HTTP integration from a Runtime to a third-party business endpoint is not. Terminal commands must not circumvent the business-service-only API rule using curl, Invoke-WebRequest, database clients or embedded integration scripts. Security behavior is mandatory; a shared library is optional.</w:t>
      </w:r>
    </w:p>
    <w:p>
      <w:pPr>
        <w:pStyle w:val="ListBullet"/>
      </w:pPr>
      <w:r>
        <w:t>Evidence must reference run/attempt/step and follow approved retention, masking and export policy. No screenshots of secrets or unrestricted stdout/terminal dumps in logs.</w:t>
      </w:r>
    </w:p>
    <w:p>
      <w:pPr>
        <w:pStyle w:val="Heading2"/>
      </w:pPr>
      <w:r>
        <w:t>10.1 Normative service-only network boundary</w:t>
      </w:r>
    </w:p>
    <w:p>
      <w:r>
        <w:t>Programmatic Runtime network destinations are restricted to (a) the Tracto Orchestrator control endpoint and (b) approved registered custom business-service operations. Browser requests caused by ordinary authorized page navigation and Terminal operations necessary to interact with an approved target are not a general third-party business-integration channel. Command templates that use curl, PowerShell web cmdlets, database drivers or user-authored scripts to call third-party business APIs are forbidden by command policy.</w:t>
      </w:r>
    </w:p>
    <w:p>
      <w:r>
        <w:t>Service registration contains logical serviceRef, operationRef, allowed origin/route, TLS/auth policy and optional response-schema version. When a declared response-schema version does not match the registered version, service.invoke rejects the response as serviceOutcome=TECHNICAL_FAILURE with errorCategory=VALIDATION and stable service.responseSchemaMismatch detail; it never silently processes a different shape. Endpoint registry is configuration, not a general HTTP composer or a service orchestration engine.</w:t>
      </w:r>
    </w:p>
    <w:p>
      <w:r>
        <w:t>For terminal/headless workers on Windows, secret resolution uses the approved Windows-side provider. Do not assume that a WSL/Linux worker inherits CurrentUser DPAPI capability merely because it is associated with the bot identity.</w:t>
      </w:r>
    </w:p>
    <w:p>
      <w:pPr>
        <w:pStyle w:val="Heading1"/>
      </w:pPr>
      <w:r>
        <w:t>11. Versioning, conformance and ownership</w:t>
      </w:r>
    </w:p>
    <w:p>
      <w:r>
        <w:t>The Common Contract owner (role: Lead Architect; person to be assigned) maintains schema, protocol fixtures and compatibility rules. The host-supervisor owning team and conformance-fixture maintainer must also be assigned before coding begins. Common breaking changes require a version increment and compatibility assessment across independently delivered runtimes; no runtime owns the common contract. Contract CI shall flag removal/renaming of required fields or changes to state meaning as breaking; compatible patch releases retain existing behavior.</w:t>
      </w:r>
    </w:p>
    <w:p>
      <w:r>
        <w:t>A small mock Orchestrator is a development-test fixture, not a fourth product. It must serve leased jobs, receive heartbeats/results, expire leases, simulate restart and duplicate attempts, and verify that workers never silently replay uncertain non-idempotent operations. Tests are run independently per Runtime; no Browser/Terminal implementation depends on Desktop readiness. A fake registered custom-service fixture supports all five serviceOutcome values, optional response-schema mismatch and deterministic callback events; fixture-only infrastructure is not a new product component.</w:t>
      </w:r>
    </w:p>
    <w:p>
      <w:pPr>
        <w:pStyle w:val="Heading3"/>
      </w:pPr>
      <w:r>
        <w:t>CEC-001  Signed artifact validation</w:t>
      </w:r>
    </w:p>
    <w:p>
      <w:r>
        <w:rPr>
          <w:b/>
        </w:rPr>
        <w:t xml:space="preserve">Requirement  </w:t>
      </w:r>
      <w:r>
        <w:t>Workers reject unsigned, untrusted, tampered, wrong-runtime or unsupported schema artifacts before side effects.</w:t>
      </w:r>
    </w:p>
    <w:p>
      <w:r>
        <w:rPr>
          <w:b/>
        </w:rPr>
        <w:t xml:space="preserve">Acceptance  </w:t>
      </w:r>
      <w:r>
        <w:t>Given mismatched digest or runtimeType, no step executes and a stable validation code is returned.</w:t>
      </w:r>
    </w:p>
    <w:p>
      <w:pPr>
        <w:pStyle w:val="Heading3"/>
      </w:pPr>
      <w:r>
        <w:t>CEC-002  No business expression interpreter</w:t>
      </w:r>
    </w:p>
    <w:p>
      <w:r>
        <w:rPr>
          <w:b/>
        </w:rPr>
        <w:t xml:space="preserve">Requirement  </w:t>
      </w:r>
      <w:r>
        <w:t>Condition parser accepts only the published closed grammar and rejects domain arithmetic, comparisons and dynamic script selection.</w:t>
      </w:r>
    </w:p>
    <w:p>
      <w:r>
        <w:rPr>
          <w:b/>
        </w:rPr>
        <w:t xml:space="preserve">Acceptance  </w:t>
      </w:r>
      <w:r>
        <w:t>Given response.amount &gt; threshold or service-provided scriptRef, validation fails for every runtime type.</w:t>
      </w:r>
    </w:p>
    <w:p>
      <w:pPr>
        <w:pStyle w:val="Heading3"/>
      </w:pPr>
      <w:r>
        <w:t>CEC-003  Transport portability</w:t>
      </w:r>
    </w:p>
    <w:p>
      <w:r>
        <w:rPr>
          <w:b/>
        </w:rPr>
        <w:t xml:space="preserve">Requirement  </w:t>
      </w:r>
      <w:r>
        <w:t>All workers use the same logical outbound pull/lease/heartbeat/result contract in local and network deployments.</w:t>
      </w:r>
    </w:p>
    <w:p>
      <w:r>
        <w:rPr>
          <w:b/>
        </w:rPr>
        <w:t xml:space="preserve">Acceptance  </w:t>
      </w:r>
      <w:r>
        <w:t>Identical fixture messages exercise a localhost Orchestrator and connected endpoint without contract changes.</w:t>
      </w:r>
    </w:p>
    <w:p>
      <w:pPr>
        <w:pStyle w:val="Heading3"/>
      </w:pPr>
      <w:r>
        <w:t>CEC-004  Attempt fencing</w:t>
      </w:r>
    </w:p>
    <w:p>
      <w:r>
        <w:rPr>
          <w:b/>
        </w:rPr>
        <w:t xml:space="preserve">Requirement  </w:t>
      </w:r>
      <w:r>
        <w:t>Worker reports and reconciles unique runId/attemptId; lease expiry alone never triggers irreversible replay.</w:t>
      </w:r>
    </w:p>
    <w:p>
      <w:r>
        <w:rPr>
          <w:b/>
        </w:rPr>
        <w:t xml:space="preserve">Acceptance  </w:t>
      </w:r>
      <w:r>
        <w:t>Induced Orchestrator restart yields same proven result or UNKNOWN; no duplicate target-system side effect.</w:t>
      </w:r>
    </w:p>
    <w:p>
      <w:pPr>
        <w:pStyle w:val="Heading3"/>
      </w:pPr>
      <w:r>
        <w:t>CEC-005  Business rejection distinction</w:t>
      </w:r>
    </w:p>
    <w:p>
      <w:r>
        <w:rPr>
          <w:b/>
        </w:rPr>
        <w:t xml:space="preserve">Requirement  </w:t>
      </w:r>
      <w:r>
        <w:t>Service rejection must be recorded as domain outcome separate from technical status.</w:t>
      </w:r>
    </w:p>
    <w:p>
      <w:r>
        <w:rPr>
          <w:b/>
        </w:rPr>
        <w:t xml:space="preserve">Acceptance  </w:t>
      </w:r>
      <w:r>
        <w:t>Rejection followed by successful UI/CLI status update produces SUCCEEDED + businessOutcome=REJECTED.</w:t>
      </w:r>
    </w:p>
    <w:p>
      <w:pPr>
        <w:pStyle w:val="Heading3"/>
      </w:pPr>
      <w:r>
        <w:t>CEC-006  Secrets isolation</w:t>
      </w:r>
    </w:p>
    <w:p>
      <w:r>
        <w:rPr>
          <w:b/>
        </w:rPr>
        <w:t>Requirement  Authorized Windows-side Runtime provider resolves secretRef at point of use; Linux Orchestrator receives only references and no plaintext.</w:t>
      </w:r>
      <w:r/>
    </w:p>
    <w:p>
      <w:r>
        <w:rPr>
          <w:b/>
        </w:rPr>
        <w:t>Acceptance  Logs and orchestration artifacts contain only references; approved Windows-based invocation succeeds; attempted Linux-DPAPI direct access is not assumed.</w:t>
      </w:r>
      <w:r/>
    </w:p>
    <w:p>
      <w:pPr>
        <w:pStyle w:val="Heading3"/>
      </w:pPr>
      <w:r>
        <w:t>CEC-007  Cross-track compatibility</w:t>
      </w:r>
    </w:p>
    <w:p>
      <w:r>
        <w:rPr>
          <w:b/>
        </w:rPr>
        <w:t xml:space="preserve">Requirement  </w:t>
      </w:r>
      <w:r>
        <w:t>Each independently versioned runtime passes shared common-contract fixtures without executing a different runtime’s actions.</w:t>
      </w:r>
    </w:p>
    <w:p>
      <w:r>
        <w:rPr>
          <w:b/>
        </w:rPr>
        <w:t xml:space="preserve">Acceptance  </w:t>
      </w:r>
      <w:r>
        <w:t>Three separate CI conformance reports show pass against one fixture version.</w:t>
      </w:r>
    </w:p>
    <w:p>
      <w:pPr>
        <w:pStyle w:val="Heading3"/>
      </w:pPr>
      <w:r>
        <w:t>CEC-008  Mixed-engine rejection</w:t>
      </w:r>
    </w:p>
    <w:p>
      <w:r>
        <w:rPr>
          <w:b/>
        </w:rPr>
        <w:t xml:space="preserve">Requirement  </w:t>
      </w:r>
      <w:r>
        <w:t>One script is bound to one runtimeType and cannot embed actions from another Runtime application.</w:t>
      </w:r>
    </w:p>
    <w:p>
      <w:r>
        <w:t>Acceptance  Validation rejects mixed Desktop+Browser script. Separate runs may be linked only via a static Orchestrator-owned on-SUCCEEDED rule or an authenticated deduplicated business completion callback; no script or service chooses an arbitrary next automation.</w:t>
      </w:r>
    </w:p>
    <w:p>
      <w:pPr>
        <w:pStyle w:val="Heading3"/>
      </w:pPr>
      <w:r>
        <w:t>CEC-009  Safe cancel</w:t>
      </w:r>
    </w:p>
    <w:p>
      <w:r>
        <w:rPr>
          <w:b/>
        </w:rPr>
        <w:t xml:space="preserve">Requirement  </w:t>
      </w:r>
      <w:r>
        <w:t>Cancellation is observed at safe boundaries and returns bounded definitive or UNKNOWN results.</w:t>
      </w:r>
    </w:p>
    <w:p>
      <w:r>
        <w:rPr>
          <w:b/>
        </w:rPr>
        <w:t xml:space="preserve">Acceptance  </w:t>
      </w:r>
      <w:r>
        <w:t>Cancel during input, browser navigation or shell command releases engine resources and reports a valid terminal status.</w:t>
      </w:r>
    </w:p>
    <w:p>
      <w:pPr>
        <w:pStyle w:val="Heading3"/>
      </w:pPr>
      <w:r>
        <w:t>CEC-010  Backwards schema window</w:t>
      </w:r>
    </w:p>
    <w:p>
      <w:r>
        <w:rPr>
          <w:b/>
        </w:rPr>
        <w:t xml:space="preserve">Requirement  </w:t>
      </w:r>
      <w:r>
        <w:t>Worker supports current and previous major publication schema versions.</w:t>
      </w:r>
    </w:p>
    <w:p>
      <w:r>
        <w:rPr>
          <w:b/>
        </w:rPr>
        <w:t xml:space="preserve">Acceptance  </w:t>
      </w:r>
      <w:r>
        <w:t>Compatibility fixtures for two major versions pass; older major is rejected with republish diagnostic.</w:t>
      </w:r>
    </w:p>
    <w:p>
      <w:pPr>
        <w:pStyle w:val="Heading2"/>
      </w:pPr>
      <w:r>
        <w:t>11.1 Shared host requirements (single authoritative definition)</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t>ID</w:t>
            </w:r>
          </w:p>
        </w:tc>
        <w:tc>
          <w:tcPr>
            <w:tcW w:type="dxa" w:w="3283"/>
            <w:vAlign w:val="center"/>
          </w:tcPr>
          <w:p>
            <w:pPr>
              <w:spacing w:after="40"/>
            </w:pPr>
            <w:r>
              <w:t>Common normative requirement</w:t>
            </w:r>
          </w:p>
        </w:tc>
        <w:tc>
          <w:tcPr>
            <w:tcW w:type="dxa" w:w="3283"/>
            <w:vAlign w:val="center"/>
          </w:tcPr>
          <w:p>
            <w:pPr>
              <w:spacing w:after="40"/>
            </w:pPr>
            <w:r>
              <w:t>Acceptance gate</w:t>
            </w:r>
          </w:p>
        </w:tc>
      </w:tr>
      <w:tr>
        <w:tc>
          <w:tcPr>
            <w:tcW w:type="dxa" w:w="3283"/>
            <w:vAlign w:val="center"/>
          </w:tcPr>
          <w:p>
            <w:pPr>
              <w:spacing w:after="40"/>
            </w:pPr>
            <w:r>
              <w:t>CEC-HOST-001</w:t>
            </w:r>
          </w:p>
        </w:tc>
        <w:tc>
          <w:tcPr>
            <w:tcW w:type="dxa" w:w="3283"/>
            <w:vAlign w:val="center"/>
          </w:tcPr>
          <w:p>
            <w:pPr>
              <w:spacing w:after="40"/>
            </w:pPr>
            <w:r>
              <w:t>Validate artifact signature/hash/schema/runtimeType and capability before execution.</w:t>
            </w:r>
          </w:p>
        </w:tc>
        <w:tc>
          <w:tcPr>
            <w:tcW w:type="dxa" w:w="3283"/>
            <w:vAlign w:val="center"/>
          </w:tcPr>
          <w:p>
            <w:pPr>
              <w:spacing w:after="40"/>
            </w:pPr>
            <w:r>
              <w:t>Wrong hash/type -&gt; no side effect.</w:t>
            </w:r>
          </w:p>
        </w:tc>
      </w:tr>
      <w:tr>
        <w:tc>
          <w:tcPr>
            <w:tcW w:type="dxa" w:w="3283"/>
            <w:vAlign w:val="center"/>
          </w:tcPr>
          <w:p>
            <w:pPr>
              <w:spacing w:after="40"/>
            </w:pPr>
            <w:r>
              <w:t>CEC-HOST-002</w:t>
            </w:r>
          </w:p>
        </w:tc>
        <w:tc>
          <w:tcPr>
            <w:tcW w:type="dxa" w:w="3283"/>
            <w:vAlign w:val="center"/>
          </w:tcPr>
          <w:p>
            <w:pPr>
              <w:spacing w:after="40"/>
            </w:pPr>
            <w:r>
              <w:t>Journal runId/attemptId/leaseId; heartbeat and fence attempts.</w:t>
            </w:r>
          </w:p>
        </w:tc>
        <w:tc>
          <w:tcPr>
            <w:tcW w:type="dxa" w:w="3283"/>
            <w:vAlign w:val="center"/>
          </w:tcPr>
          <w:p>
            <w:pPr>
              <w:spacing w:after="40"/>
            </w:pPr>
            <w:r>
              <w:t>Lease expiry never causes duplicate irreversible action.</w:t>
            </w:r>
          </w:p>
        </w:tc>
      </w:tr>
      <w:tr>
        <w:tc>
          <w:tcPr>
            <w:tcW w:type="dxa" w:w="3283"/>
            <w:vAlign w:val="center"/>
          </w:tcPr>
          <w:p>
            <w:pPr>
              <w:spacing w:after="40"/>
            </w:pPr>
            <w:r>
              <w:t>CEC-HOST-003</w:t>
            </w:r>
          </w:p>
        </w:tc>
        <w:tc>
          <w:tcPr>
            <w:tcW w:type="dxa" w:w="3283"/>
            <w:vAlign w:val="center"/>
          </w:tcPr>
          <w:p>
            <w:pPr>
              <w:spacing w:after="40"/>
            </w:pPr>
            <w:r>
              <w:t>Worker initiates outbound register/pull/heartbeat/result connection.</w:t>
            </w:r>
          </w:p>
        </w:tc>
        <w:tc>
          <w:tcPr>
            <w:tcW w:type="dxa" w:w="3283"/>
            <w:vAlign w:val="center"/>
          </w:tcPr>
          <w:p>
            <w:pPr>
              <w:spacing w:after="40"/>
            </w:pPr>
            <w:r>
              <w:t>Localhost and network use same message contract.</w:t>
            </w:r>
          </w:p>
        </w:tc>
      </w:tr>
      <w:tr>
        <w:tc>
          <w:tcPr>
            <w:tcW w:type="dxa" w:w="3283"/>
            <w:vAlign w:val="center"/>
          </w:tcPr>
          <w:p>
            <w:pPr>
              <w:spacing w:after="40"/>
            </w:pPr>
            <w:r>
              <w:t>CEC-HOST-004</w:t>
            </w:r>
          </w:p>
        </w:tc>
        <w:tc>
          <w:tcPr>
            <w:tcW w:type="dxa" w:w="3283"/>
            <w:vAlign w:val="center"/>
          </w:tcPr>
          <w:p>
            <w:pPr>
              <w:spacing w:after="40"/>
            </w:pPr>
            <w:r>
              <w:t>Invoke only registered custom business services via service.invoke.</w:t>
            </w:r>
          </w:p>
        </w:tc>
        <w:tc>
          <w:tcPr>
            <w:tcW w:type="dxa" w:w="3283"/>
            <w:vAlign w:val="center"/>
          </w:tcPr>
          <w:p>
            <w:pPr>
              <w:spacing w:after="40"/>
            </w:pPr>
            <w:r>
              <w:t>Third-party raw API destination fails policy.</w:t>
            </w:r>
          </w:p>
        </w:tc>
      </w:tr>
      <w:tr>
        <w:tc>
          <w:tcPr>
            <w:tcW w:type="dxa" w:w="3283"/>
            <w:vAlign w:val="center"/>
          </w:tcPr>
          <w:p>
            <w:pPr>
              <w:spacing w:after="40"/>
            </w:pPr>
            <w:r>
              <w:t>CEC-HOST-005</w:t>
            </w:r>
          </w:p>
        </w:tc>
        <w:tc>
          <w:tcPr>
            <w:tcW w:type="dxa" w:w="3283"/>
            <w:vAlign w:val="center"/>
          </w:tcPr>
          <w:p>
            <w:pPr>
              <w:spacing w:after="40"/>
            </w:pPr>
            <w:r>
              <w:t>Record async acknowledgement and HANDED_OFF with businessJobId.</w:t>
            </w:r>
          </w:p>
        </w:tc>
        <w:tc>
          <w:tcPr>
            <w:tcW w:type="dxa" w:w="3283"/>
            <w:vAlign w:val="center"/>
          </w:tcPr>
          <w:p>
            <w:pPr>
              <w:spacing w:after="40"/>
            </w:pPr>
            <w:r>
              <w:t>No worker held during business computation.</w:t>
            </w:r>
          </w:p>
        </w:tc>
      </w:tr>
      <w:tr>
        <w:tc>
          <w:tcPr>
            <w:tcW w:type="dxa" w:w="3283"/>
            <w:vAlign w:val="center"/>
          </w:tcPr>
          <w:p>
            <w:pPr>
              <w:spacing w:after="40"/>
            </w:pPr>
            <w:r>
              <w:t>CEC-HOST-006</w:t>
            </w:r>
          </w:p>
        </w:tc>
        <w:tc>
          <w:tcPr>
            <w:tcW w:type="dxa" w:w="3283"/>
            <w:vAlign w:val="center"/>
          </w:tcPr>
          <w:p>
            <w:pPr>
              <w:spacing w:after="40"/>
            </w:pPr>
            <w:r>
              <w:t>Resolve secretRef at authorized Windows-side use point.</w:t>
            </w:r>
          </w:p>
        </w:tc>
        <w:tc>
          <w:tcPr>
            <w:tcW w:type="dxa" w:w="3283"/>
            <w:vAlign w:val="center"/>
          </w:tcPr>
          <w:p>
            <w:pPr>
              <w:spacing w:after="40"/>
            </w:pPr>
            <w:r>
              <w:t>No Tracto secret in Linux Orchestrator/logs.</w:t>
            </w:r>
          </w:p>
        </w:tc>
      </w:tr>
      <w:tr>
        <w:tc>
          <w:tcPr>
            <w:tcW w:type="dxa" w:w="3283"/>
            <w:vAlign w:val="center"/>
          </w:tcPr>
          <w:p>
            <w:pPr>
              <w:spacing w:after="40"/>
            </w:pPr>
            <w:r>
              <w:t>CEC-HOST-007</w:t>
            </w:r>
          </w:p>
        </w:tc>
        <w:tc>
          <w:tcPr>
            <w:tcW w:type="dxa" w:w="3283"/>
            <w:vAlign w:val="center"/>
          </w:tcPr>
          <w:p>
            <w:pPr>
              <w:spacing w:after="40"/>
            </w:pPr>
            <w:r>
              <w:t>Cancel, cleanup and release owned resources at bounded boundaries.</w:t>
            </w:r>
          </w:p>
        </w:tc>
        <w:tc>
          <w:tcPr>
            <w:tcW w:type="dxa" w:w="3283"/>
            <w:vAlign w:val="center"/>
          </w:tcPr>
          <w:p>
            <w:pPr>
              <w:spacing w:after="40"/>
            </w:pPr>
            <w:r>
              <w:t>No leaked lease/process/input state.</w:t>
            </w:r>
          </w:p>
        </w:tc>
      </w:tr>
      <w:tr>
        <w:tc>
          <w:tcPr>
            <w:tcW w:type="dxa" w:w="3283"/>
            <w:vAlign w:val="center"/>
          </w:tcPr>
          <w:p>
            <w:pPr>
              <w:spacing w:after="40"/>
            </w:pPr>
            <w:r>
              <w:t>CEC-HOST-008</w:t>
            </w:r>
          </w:p>
        </w:tc>
        <w:tc>
          <w:tcPr>
            <w:tcW w:type="dxa" w:w="3283"/>
            <w:vAlign w:val="center"/>
          </w:tcPr>
          <w:p>
            <w:pPr>
              <w:spacing w:after="40"/>
            </w:pPr>
            <w:r>
              <w:t>Emit standard telemetry and controlled evidence.</w:t>
            </w:r>
          </w:p>
        </w:tc>
        <w:tc>
          <w:tcPr>
            <w:tcW w:type="dxa" w:w="3283"/>
            <w:vAlign w:val="center"/>
          </w:tcPr>
          <w:p>
            <w:pPr>
              <w:spacing w:after="40"/>
            </w:pPr>
            <w:r>
              <w:t>Correlatable run/attempt/step without exposed secrets.</w:t>
            </w:r>
          </w:p>
        </w:tc>
      </w:tr>
      <w:tr>
        <w:tc>
          <w:tcPr>
            <w:tcW w:type="dxa" w:w="3283"/>
            <w:vAlign w:val="center"/>
          </w:tcPr>
          <w:p>
            <w:pPr>
              <w:spacing w:after="40"/>
            </w:pPr>
            <w:r>
              <w:t>CEC-HOST-009</w:t>
            </w:r>
          </w:p>
        </w:tc>
        <w:tc>
          <w:tcPr>
            <w:tcW w:type="dxa" w:w="3283"/>
            <w:vAlign w:val="center"/>
          </w:tcPr>
          <w:p>
            <w:pPr>
              <w:spacing w:after="40"/>
            </w:pPr>
            <w:r>
              <w:t>Reject business expressions, unapproved integrations or dynamic executable content.</w:t>
            </w:r>
          </w:p>
        </w:tc>
        <w:tc>
          <w:tcPr>
            <w:tcW w:type="dxa" w:w="3283"/>
            <w:vAlign w:val="center"/>
          </w:tcPr>
          <w:p>
            <w:pPr>
              <w:spacing w:after="40"/>
            </w:pPr>
            <w:r>
              <w:t>Business calculation and direct third-party API prohibited.</w:t>
            </w:r>
          </w:p>
        </w:tc>
      </w:tr>
    </w:tbl>
    <w:p>
      <w:pPr>
        <w:pStyle w:val="Heading2"/>
      </w:pPr>
      <w:r>
        <w:t>11.2 Additional testable common-contract requirements</w:t>
      </w:r>
    </w:p>
    <w:p>
      <w:pPr>
        <w:pStyle w:val="Heading3"/>
      </w:pPr>
      <w:r>
        <w:t>CEC-011  Bounded technical control</w:t>
      </w:r>
    </w:p>
    <w:p>
      <w:r>
        <w:t>Requirement  Only forward branches and bounded technical iteration are accepted; false preconditions wait/fail and never auto-skip.</w:t>
      </w:r>
    </w:p>
    <w:p>
      <w:r>
        <w:t>Acceptance  Unbounded or backward loop rejected; timeout on false precondition yields FAILED with TIMEOUT detail; false postcondition yields FAILED or UNKNOWN if effect commitment is uncertain; untaken branch yields SKIPPED/BRANCH_NOT_TAKEN.</w:t>
      </w:r>
    </w:p>
    <w:p>
      <w:pPr>
        <w:pStyle w:val="Heading3"/>
      </w:pPr>
      <w:r>
        <w:t>CEC-012  Typed references and target map</w:t>
      </w:r>
    </w:p>
    <w:p>
      <w:r>
        <w:t>Requirement  All refs resolve to declared inputs, preceding outputs, vars or approved secretRef; selectorRefs resolve to targets.</w:t>
      </w:r>
    </w:p>
    <w:p>
      <w:r>
        <w:t>Acceptance  Undefined reference or selector rejected before execution.</w:t>
      </w:r>
    </w:p>
    <w:p>
      <w:pPr>
        <w:pStyle w:val="Heading3"/>
      </w:pPr>
      <w:r>
        <w:t>CEC-013  Custom service-only invocation</w:t>
      </w:r>
    </w:p>
    <w:p>
      <w:r>
        <w:t>Requirement  service.invoke accepts only registered custom business-service operations; API results use defined serviceOutcome convention.</w:t>
      </w:r>
    </w:p>
    <w:p>
      <w:r>
        <w:t>Acceptance  Raw third-party URL or direct database connection rejected; response mapping succeeds for approved service.</w:t>
      </w:r>
    </w:p>
    <w:p>
      <w:pPr>
        <w:pStyle w:val="Heading3"/>
      </w:pPr>
      <w:r>
        <w:t>CEC-014  No direct integration escape</w:t>
      </w:r>
    </w:p>
    <w:p>
      <w:r>
        <w:t>Requirement  Browser network operation is allowed only as normal page navigation; Terminal command policy blocks third-party API integration.</w:t>
      </w:r>
    </w:p>
    <w:p>
      <w:r>
        <w:t>Acceptance  Browser navigate allowed; terminal curl to unregistered business endpoint denied.</w:t>
      </w:r>
    </w:p>
    <w:p>
      <w:pPr>
        <w:pStyle w:val="Heading3"/>
      </w:pPr>
      <w:r>
        <w:t>CEC-015  Protocol identity and capacity</w:t>
      </w:r>
    </w:p>
    <w:p>
      <w:r>
        <w:t>Requirement  Registration advertises protocolVersion and headed session identity; leases enforce per worker and interactive session.</w:t>
      </w:r>
    </w:p>
    <w:p>
      <w:r>
        <w:t>Acceptance  Two headed workers claiming same session cannot both obtain interactive leases.</w:t>
      </w:r>
    </w:p>
    <w:p>
      <w:pPr>
        <w:pStyle w:val="Heading3"/>
      </w:pPr>
      <w:r>
        <w:t>CEC-016  Consistent outcomes</w:t>
      </w:r>
    </w:p>
    <w:p>
      <w:r>
        <w:t>Requirement  Common errorCategory, serviceOutcome and run states remain distinct; no invalid SUCCESS status.</w:t>
      </w:r>
    </w:p>
    <w:p>
      <w:r>
        <w:t>Acceptance  Business rejection handled via UI action finishes SUCCEEDED with businessOutcome=REJECTED.</w:t>
      </w:r>
    </w:p>
    <w:p>
      <w:pPr>
        <w:pStyle w:val="Heading1"/>
      </w:pPr>
      <w:r>
        <w:t>12. Conformance fixture pack (development artifact)</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Fixture ID</w:t>
            </w:r>
          </w:p>
        </w:tc>
        <w:tc>
          <w:tcPr>
            <w:tcW w:type="dxa" w:w="3283"/>
            <w:shd w:fill="EAF3F6"/>
          </w:tcPr>
          <w:p>
            <w:r>
              <w:t>Injected situation</w:t>
            </w:r>
          </w:p>
        </w:tc>
        <w:tc>
          <w:tcPr>
            <w:tcW w:type="dxa" w:w="3283"/>
            <w:shd w:fill="EAF3F6"/>
          </w:tcPr>
          <w:p>
            <w:r>
              <w:t>Required outcome</w:t>
            </w:r>
          </w:p>
        </w:tc>
      </w:tr>
      <w:tr>
        <w:tc>
          <w:tcPr>
            <w:tcW w:type="dxa" w:w="3283"/>
            <w:vAlign w:val="center"/>
          </w:tcPr>
          <w:p>
            <w:r>
              <w:rPr>
                <w:b/>
              </w:rPr>
              <w:t>CF-01</w:t>
            </w:r>
          </w:p>
        </w:tc>
        <w:tc>
          <w:tcPr>
            <w:tcW w:type="dxa" w:w="3283"/>
            <w:vAlign w:val="center"/>
          </w:tcPr>
          <w:p>
            <w:r>
              <w:t>Valid leased job and 2 heartbeats</w:t>
            </w:r>
          </w:p>
        </w:tc>
        <w:tc>
          <w:tcPr>
            <w:tcW w:type="dxa" w:w="3283"/>
            <w:vAlign w:val="center"/>
          </w:tcPr>
          <w:p>
            <w:r>
              <w:t>One execution, one terminal result.</w:t>
            </w:r>
          </w:p>
        </w:tc>
      </w:tr>
      <w:tr>
        <w:tc>
          <w:tcPr>
            <w:tcW w:type="dxa" w:w="3283"/>
            <w:vAlign w:val="center"/>
          </w:tcPr>
          <w:p>
            <w:r>
              <w:rPr>
                <w:b/>
              </w:rPr>
              <w:t>CF-02</w:t>
            </w:r>
          </w:p>
        </w:tc>
        <w:tc>
          <w:tcPr>
            <w:tcW w:type="dxa" w:w="3283"/>
            <w:vAlign w:val="center"/>
          </w:tcPr>
          <w:p>
            <w:r>
              <w:t>Wrong runtimeType / unsupported schema</w:t>
            </w:r>
          </w:p>
        </w:tc>
        <w:tc>
          <w:tcPr>
            <w:tcW w:type="dxa" w:w="3283"/>
            <w:vAlign w:val="center"/>
          </w:tcPr>
          <w:p>
            <w:r>
              <w:t>No action; policy/schema rejection.</w:t>
            </w:r>
          </w:p>
        </w:tc>
      </w:tr>
      <w:tr>
        <w:tc>
          <w:tcPr>
            <w:tcW w:type="dxa" w:w="3283"/>
            <w:vAlign w:val="center"/>
          </w:tcPr>
          <w:p>
            <w:r>
              <w:rPr>
                <w:b/>
              </w:rPr>
              <w:t>CF-03</w:t>
            </w:r>
          </w:p>
        </w:tc>
        <w:tc>
          <w:tcPr>
            <w:tcW w:type="dxa" w:w="3283"/>
            <w:vAlign w:val="center"/>
          </w:tcPr>
          <w:p>
            <w:r>
              <w:t>Lease expires after uncertain irreversible step</w:t>
            </w:r>
          </w:p>
        </w:tc>
        <w:tc>
          <w:tcPr>
            <w:tcW w:type="dxa" w:w="3283"/>
            <w:vAlign w:val="center"/>
          </w:tcPr>
          <w:p>
            <w:r>
              <w:t>UNKNOWN/reconciliation; no silent replay.</w:t>
            </w:r>
          </w:p>
        </w:tc>
      </w:tr>
      <w:tr>
        <w:tc>
          <w:tcPr>
            <w:tcW w:type="dxa" w:w="3283"/>
            <w:vAlign w:val="center"/>
          </w:tcPr>
          <w:p>
            <w:r>
              <w:rPr>
                <w:b/>
              </w:rPr>
              <w:t>CF-04</w:t>
            </w:r>
          </w:p>
        </w:tc>
        <w:tc>
          <w:tcPr>
            <w:tcW w:type="dxa" w:w="3283"/>
            <w:vAlign w:val="center"/>
          </w:tcPr>
          <w:p>
            <w:r>
              <w:t>Orchestrator restarts while job running</w:t>
            </w:r>
          </w:p>
        </w:tc>
        <w:tc>
          <w:tcPr>
            <w:tcW w:type="dxa" w:w="3283"/>
            <w:vAlign w:val="center"/>
          </w:tcPr>
          <w:p>
            <w:r>
              <w:t>Reconnect and reconcile attemptId.</w:t>
            </w:r>
          </w:p>
        </w:tc>
      </w:tr>
      <w:tr>
        <w:tc>
          <w:tcPr>
            <w:tcW w:type="dxa" w:w="3283"/>
            <w:vAlign w:val="center"/>
          </w:tcPr>
          <w:p>
            <w:r>
              <w:rPr>
                <w:b/>
              </w:rPr>
              <w:t>CF-05</w:t>
            </w:r>
          </w:p>
        </w:tc>
        <w:tc>
          <w:tcPr>
            <w:tcW w:type="dxa" w:w="3283"/>
            <w:vAlign w:val="center"/>
          </w:tcPr>
          <w:p>
            <w:r>
              <w:t>Duplicate lease or status delivery</w:t>
            </w:r>
          </w:p>
        </w:tc>
        <w:tc>
          <w:tcPr>
            <w:tcW w:type="dxa" w:w="3283"/>
            <w:vAlign w:val="center"/>
          </w:tcPr>
          <w:p>
            <w:r>
              <w:t>Deduplication / attempt fencing.</w:t>
            </w:r>
          </w:p>
        </w:tc>
      </w:tr>
      <w:tr>
        <w:tc>
          <w:tcPr>
            <w:tcW w:type="dxa" w:w="3283"/>
            <w:vAlign w:val="center"/>
          </w:tcPr>
          <w:p>
            <w:r>
              <w:rPr>
                <w:b/>
              </w:rPr>
              <w:t>CF-06</w:t>
            </w:r>
          </w:p>
        </w:tc>
        <w:tc>
          <w:tcPr>
            <w:tcW w:type="dxa" w:w="3283"/>
            <w:vAlign w:val="center"/>
          </w:tcPr>
          <w:p>
            <w:r>
              <w:t>Business service rejects a record</w:t>
            </w:r>
          </w:p>
        </w:tc>
        <w:tc>
          <w:tcPr>
            <w:tcW w:type="dxa" w:w="3283"/>
            <w:vAlign w:val="center"/>
          </w:tcPr>
          <w:p>
            <w:r>
              <w:t>Technical run can SUCCEED with businessOutcome REJECTED.</w:t>
            </w:r>
          </w:p>
        </w:tc>
      </w:tr>
      <w:tr>
        <w:tc>
          <w:tcPr>
            <w:tcW w:type="dxa" w:w="3283"/>
            <w:vAlign w:val="center"/>
          </w:tcPr>
          <w:p>
            <w:r>
              <w:rPr>
                <w:b/>
              </w:rPr>
              <w:t>CF-07</w:t>
            </w:r>
          </w:p>
        </w:tc>
        <w:tc>
          <w:tcPr>
            <w:tcW w:type="dxa" w:w="3283"/>
            <w:vAlign w:val="center"/>
          </w:tcPr>
          <w:p>
            <w:r>
              <w:t>Retryable API error and unsafe POST</w:t>
            </w:r>
          </w:p>
        </w:tc>
        <w:tc>
          <w:tcPr>
            <w:tcW w:type="dxa" w:w="3283"/>
            <w:vAlign w:val="center"/>
          </w:tcPr>
          <w:p>
            <w:r>
              <w:t>Respect idempotency classification.</w:t>
            </w:r>
          </w:p>
        </w:tc>
      </w:tr>
      <w:tr>
        <w:tc>
          <w:tcPr>
            <w:tcW w:type="dxa" w:w="3283"/>
            <w:vAlign w:val="center"/>
          </w:tcPr>
          <w:p>
            <w:r>
              <w:rPr>
                <w:b/>
              </w:rPr>
              <w:t>CF-08</w:t>
            </w:r>
          </w:p>
        </w:tc>
        <w:tc>
          <w:tcPr>
            <w:tcW w:type="dxa" w:w="3283"/>
            <w:vAlign w:val="center"/>
          </w:tcPr>
          <w:p>
            <w:r>
              <w:t>Secret in input or telemetry payload</w:t>
            </w:r>
          </w:p>
        </w:tc>
        <w:tc>
          <w:tcPr>
            <w:tcW w:type="dxa" w:w="3283"/>
            <w:vAlign w:val="center"/>
          </w:tcPr>
          <w:p>
            <w:r>
              <w:t>Reject or redact; no secret in Orchestrator.</w:t>
            </w:r>
          </w:p>
        </w:tc>
      </w:tr>
      <w:tr>
        <w:tc>
          <w:tcPr>
            <w:tcW w:type="dxa" w:w="3283"/>
            <w:vAlign w:val="center"/>
          </w:tcPr>
          <w:p>
            <w:r>
              <w:rPr>
                <w:b/>
              </w:rPr>
              <w:t>CF-09</w:t>
            </w:r>
          </w:p>
        </w:tc>
        <w:tc>
          <w:tcPr>
            <w:tcW w:type="dxa" w:w="3283"/>
            <w:vAlign w:val="center"/>
          </w:tcPr>
          <w:p>
            <w:r>
              <w:t>Cancelled job and broken connection</w:t>
            </w:r>
          </w:p>
        </w:tc>
        <w:tc>
          <w:tcPr>
            <w:tcW w:type="dxa" w:w="3283"/>
            <w:vAlign w:val="center"/>
          </w:tcPr>
          <w:p>
            <w:r>
              <w:t>Bounded safe cleanup, correct terminal state.</w:t>
            </w:r>
          </w:p>
        </w:tc>
      </w:tr>
      <w:tr>
        <w:tc>
          <w:tcPr>
            <w:tcW w:type="dxa" w:w="3283"/>
            <w:vAlign w:val="center"/>
          </w:tcPr>
          <w:p>
            <w:r>
              <w:rPr>
                <w:b/>
              </w:rPr>
              <w:t>CF-10</w:t>
            </w:r>
          </w:p>
        </w:tc>
        <w:tc>
          <w:tcPr>
            <w:tcW w:type="dxa" w:w="3283"/>
            <w:vAlign w:val="center"/>
          </w:tcPr>
          <w:p>
            <w:r>
              <w:t>Disallowed domain condition expression</w:t>
            </w:r>
          </w:p>
        </w:tc>
        <w:tc>
          <w:tcPr>
            <w:tcW w:type="dxa" w:w="3283"/>
            <w:vAlign w:val="center"/>
          </w:tcPr>
          <w:p>
            <w:r>
              <w:t>Script rejected at validation.</w:t>
            </w:r>
          </w:p>
        </w:tc>
      </w:tr>
    </w:tbl>
    <w:sectPr w:rsidR="00FC693F" w:rsidRPr="0006063C" w:rsidSect="00034616">
      <w:headerReference w:type="default" r:id="rId9"/>
      <w:footerReference w:type="default" r:id="rId10"/>
      <w:pgSz w:w="12240" w:h="15840"/>
      <w:pgMar w:top="1138" w:right="1195" w:bottom="979" w:left="1195"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Architecture-aligned working document  •  22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TRACTO  /  SPECIFICATION v1.0.1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93C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A56"/>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883"/>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6883"/>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A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9697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