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t>ARCHITECTURE DECISION BASELINE</w:t>
      </w:r>
    </w:p>
    <w:p>
      <w:pPr>
        <w:pStyle w:val="Title"/>
      </w:pPr>
      <w:r>
        <w:t>Tracto RPA Platform</w:t>
      </w:r>
    </w:p>
    <w:p>
      <w:pPr>
        <w:pStyle w:val="Subtitle"/>
      </w:pPr>
      <w:r>
        <w:t>Consolidated Architecture  |  v1.2A Independent Runtime Amendment</w:t>
      </w:r>
    </w:p>
    <w:p>
      <w:pPr>
        <w:pStyle w:val="Subtitle"/>
      </w:pPr>
      <w:r>
        <w:t>Designer  /  Execution Runtime  /  Orchestrator  /  External Business Service Boundary</w:t>
      </w:r>
    </w:p>
    <w:p>
      <w:pPr>
        <w:jc w:val="center"/>
      </w:pPr>
      <w:r>
        <w:drawing>
          <wp:inline xmlns:a="http://schemas.openxmlformats.org/drawingml/2006/main" xmlns:pic="http://schemas.openxmlformats.org/drawingml/2006/picture">
            <wp:extent cx="6236208" cy="3464560"/>
            <wp:docPr id="1" name="Picture 1"/>
            <wp:cNvGraphicFramePr>
              <a:graphicFrameLocks noChangeAspect="1"/>
            </wp:cNvGraphicFramePr>
            <a:graphic>
              <a:graphicData uri="http://schemas.openxmlformats.org/drawingml/2006/picture">
                <pic:pic>
                  <pic:nvPicPr>
                    <pic:cNvPr id="0" name="Tracto_RPA_v1_2_Corrected_Architecture.png"/>
                    <pic:cNvPicPr/>
                  </pic:nvPicPr>
                  <pic:blipFill>
                    <a:blip r:embed="rId12"/>
                    <a:stretch>
                      <a:fillRect/>
                    </a:stretch>
                  </pic:blipFill>
                  <pic:spPr>
                    <a:xfrm>
                      <a:off x="0" y="0"/>
                      <a:ext cx="6236208" cy="3464560"/>
                    </a:xfrm>
                    <a:prstGeom prst="rect"/>
                  </pic:spPr>
                </pic:pic>
              </a:graphicData>
            </a:graphic>
          </wp:inline>
        </w:drawing>
      </w:r>
    </w:p>
    <w:tbl>
      <w:tblPr>
        <w:tblW w:type="auto" w:w="0"/>
        <w:tblLook w:firstColumn="1" w:firstRow="1" w:lastColumn="0" w:lastRow="0" w:noHBand="0" w:noVBand="1" w:val="04A0"/>
      </w:tblPr>
      <w:tblGrid>
        <w:gridCol w:w="10080"/>
      </w:tblGrid>
      <w:tr>
        <w:trPr>
          <w:cantSplit/>
        </w:trPr>
        <w:tc>
          <w:tcPr>
            <w:tcW w:type="dxa" w:w="10080"/>
            <w:shd w:fill="EDF4F8"/>
            <w:tcMar>
              <w:top w:w="130" w:type="dxa"/>
              <w:bottom w:w="130" w:type="dxa"/>
              <w:left w:w="170" w:type="dxa"/>
              <w:right w:w="170" w:type="dxa"/>
            </w:tcMar>
          </w:tcPr>
          <w:p>
            <w:r>
              <w:t>STATUS: CONDITIONAL FREEZE  |  Product boundary and functional scope accepted; unattended isolated and connected session provisioning remain PoC-gated.</w:t>
            </w:r>
          </w:p>
        </w:tc>
      </w:tr>
    </w:tbl>
    <w:p>
      <w:pPr>
        <w:spacing w:after="0"/>
      </w:pPr>
    </w:p>
    <w:tbl>
      <w:tblPr>
        <w:tblStyle w:val="TableGrid"/>
        <w:tblW w:type="auto" w:w="0"/>
        <w:jc w:val="center"/>
        <w:tblLayout w:type="fixed"/>
        <w:tblLook w:firstColumn="1" w:firstRow="1" w:lastColumn="0" w:lastRow="0" w:noHBand="0" w:noVBand="1" w:val="04A0"/>
      </w:tblPr>
      <w:tblGrid>
        <w:gridCol w:w="2232"/>
        <w:gridCol w:w="7416"/>
      </w:tblGrid>
      <w:tr>
        <w:trPr>
          <w:tblHeader w:val="true"/>
          <w:tblHeader w:val="true"/>
          <w:cantSplit/>
        </w:trPr>
        <w:tc>
          <w:tcPr>
            <w:tcW w:type="dxa" w:w="5040"/>
            <w:shd w:fill="15354F"/>
            <w:tcMar>
              <w:top w:w="80" w:type="dxa"/>
              <w:bottom w:w="80" w:type="dxa"/>
              <w:left w:w="95" w:type="dxa"/>
              <w:right w:w="95" w:type="dxa"/>
            </w:tcMar>
          </w:tcPr>
          <w:p>
            <w:r>
              <w:rPr>
                <w:b/>
                <w:color w:val="FFFFFF"/>
                <w:sz w:val="16"/>
              </w:rPr>
              <w:t>Document control</w:t>
            </w:r>
          </w:p>
        </w:tc>
        <w:tc>
          <w:tcPr>
            <w:tcW w:type="dxa" w:w="5040"/>
            <w:shd w:fill="15354F"/>
            <w:tcMar>
              <w:top w:w="80" w:type="dxa"/>
              <w:bottom w:w="80" w:type="dxa"/>
              <w:left w:w="95" w:type="dxa"/>
              <w:right w:w="95" w:type="dxa"/>
            </w:tcMar>
          </w:tcPr>
          <w:p>
            <w:r>
              <w:rPr>
                <w:b/>
                <w:color w:val="FFFFFF"/>
                <w:sz w:val="16"/>
              </w:rPr>
              <w:t>Value</w:t>
            </w:r>
          </w:p>
        </w:tc>
      </w:tr>
      <w:tr>
        <w:trPr>
          <w:cantSplit/>
          <w:cantSplit/>
        </w:trPr>
        <w:tc>
          <w:tcPr>
            <w:tcW w:type="dxa" w:w="2232"/>
            <w:vAlign w:val="center"/>
            <w:tcMar>
              <w:top w:w="80" w:type="dxa"/>
              <w:bottom w:w="80" w:type="dxa"/>
              <w:left w:w="95" w:type="dxa"/>
              <w:right w:w="95" w:type="dxa"/>
            </w:tcMar>
          </w:tcPr>
          <w:p>
            <w:pPr>
              <w:spacing w:after="0" w:line="240" w:lineRule="auto"/>
            </w:pPr>
            <w:r>
              <w:rPr>
                <w:color w:val="15354F"/>
                <w:sz w:val="15"/>
              </w:rPr>
              <w:t>Document ID</w:t>
            </w:r>
          </w:p>
        </w:tc>
        <w:tc>
          <w:tcPr>
            <w:tcW w:type="dxa" w:w="7416"/>
            <w:vAlign w:val="center"/>
            <w:tcMar>
              <w:top w:w="80" w:type="dxa"/>
              <w:bottom w:w="80" w:type="dxa"/>
              <w:left w:w="95" w:type="dxa"/>
              <w:right w:w="95" w:type="dxa"/>
            </w:tcMar>
          </w:tcPr>
          <w:p>
            <w:pPr>
              <w:spacing w:after="0" w:line="240" w:lineRule="auto"/>
            </w:pPr>
            <w:r>
              <w:rPr>
                <w:color w:val="15354F"/>
                <w:sz w:val="15"/>
              </w:rPr>
              <w:t>TRACTO-ARCH-001</w:t>
            </w:r>
          </w:p>
        </w:tc>
      </w:tr>
      <w:tr>
        <w:trPr>
          <w:cantSplit/>
          <w:cantSplit/>
        </w:trPr>
        <w:tc>
          <w:tcPr>
            <w:tcW w:type="dxa" w:w="2232"/>
            <w:vAlign w:val="center"/>
            <w:tcMar>
              <w:top w:w="80" w:type="dxa"/>
              <w:bottom w:w="80" w:type="dxa"/>
              <w:left w:w="95" w:type="dxa"/>
              <w:right w:w="95" w:type="dxa"/>
            </w:tcMar>
            <w:shd w:fill="F6F8FA"/>
          </w:tcPr>
          <w:p>
            <w:pPr>
              <w:spacing w:after="0" w:line="240" w:lineRule="auto"/>
            </w:pPr>
            <w:r>
              <w:rPr>
                <w:color w:val="15354F"/>
                <w:sz w:val="15"/>
              </w:rPr>
              <w:t>Version / issue date</w:t>
            </w:r>
          </w:p>
        </w:tc>
        <w:tc>
          <w:tcPr>
            <w:tcW w:type="dxa" w:w="7416"/>
            <w:vAlign w:val="center"/>
            <w:tcMar>
              <w:top w:w="80" w:type="dxa"/>
              <w:bottom w:w="80" w:type="dxa"/>
              <w:left w:w="95" w:type="dxa"/>
              <w:right w:w="95" w:type="dxa"/>
            </w:tcMar>
            <w:shd w:fill="F6F8FA"/>
          </w:tcPr>
          <w:p>
            <w:r>
              <w:t>1.2 revised circulation baseline / 21 October 2026</w:t>
            </w:r>
          </w:p>
        </w:tc>
      </w:tr>
      <w:tr>
        <w:trPr>
          <w:cantSplit/>
          <w:cantSplit/>
        </w:trPr>
        <w:tc>
          <w:tcPr>
            <w:tcW w:type="dxa" w:w="2232"/>
            <w:vAlign w:val="center"/>
            <w:tcMar>
              <w:top w:w="80" w:type="dxa"/>
              <w:bottom w:w="80" w:type="dxa"/>
              <w:left w:w="95" w:type="dxa"/>
              <w:right w:w="95" w:type="dxa"/>
            </w:tcMar>
          </w:tcPr>
          <w:p>
            <w:pPr>
              <w:spacing w:after="0" w:line="240" w:lineRule="auto"/>
            </w:pPr>
            <w:r>
              <w:rPr>
                <w:color w:val="15354F"/>
                <w:sz w:val="15"/>
              </w:rPr>
              <w:t>Audience</w:t>
            </w:r>
          </w:p>
        </w:tc>
        <w:tc>
          <w:tcPr>
            <w:tcW w:type="dxa" w:w="7416"/>
            <w:vAlign w:val="center"/>
            <w:tcMar>
              <w:top w:w="80" w:type="dxa"/>
              <w:bottom w:w="80" w:type="dxa"/>
              <w:left w:w="95" w:type="dxa"/>
              <w:right w:w="95" w:type="dxa"/>
            </w:tcMar>
          </w:tcPr>
          <w:p>
            <w:pPr>
              <w:spacing w:after="0" w:line="240" w:lineRule="auto"/>
            </w:pPr>
            <w:r>
              <w:rPr>
                <w:color w:val="15354F"/>
                <w:sz w:val="15"/>
              </w:rPr>
              <w:t>Enterprise architect; solution architect; .NET engineering lead; runtime engineer; security and operations reviewers</w:t>
            </w:r>
          </w:p>
        </w:tc>
      </w:tr>
      <w:tr>
        <w:trPr>
          <w:cantSplit/>
          <w:cantSplit/>
        </w:trPr>
        <w:tc>
          <w:tcPr>
            <w:tcW w:type="dxa" w:w="2232"/>
            <w:vAlign w:val="center"/>
            <w:tcMar>
              <w:top w:w="80" w:type="dxa"/>
              <w:bottom w:w="80" w:type="dxa"/>
              <w:left w:w="95" w:type="dxa"/>
              <w:right w:w="95" w:type="dxa"/>
            </w:tcMar>
            <w:shd w:fill="F6F8FA"/>
          </w:tcPr>
          <w:p>
            <w:pPr>
              <w:spacing w:after="0" w:line="240" w:lineRule="auto"/>
            </w:pPr>
            <w:r>
              <w:rPr>
                <w:color w:val="15354F"/>
                <w:sz w:val="15"/>
              </w:rPr>
              <w:t>Baseline</w:t>
            </w:r>
          </w:p>
        </w:tc>
        <w:tc>
          <w:tcPr>
            <w:tcW w:type="dxa" w:w="7416"/>
            <w:vAlign w:val="center"/>
            <w:tcMar>
              <w:top w:w="80" w:type="dxa"/>
              <w:bottom w:w="80" w:type="dxa"/>
              <w:left w:w="95" w:type="dxa"/>
              <w:right w:w="95" w:type="dxa"/>
            </w:tcMar>
            <w:shd w:fill="F6F8FA"/>
          </w:tcPr>
          <w:p>
            <w:pPr>
              <w:spacing w:after="0" w:line="240" w:lineRule="auto"/>
            </w:pPr>
            <w:r>
              <w:rPr>
                <w:color w:val="15354F"/>
                <w:sz w:val="15"/>
              </w:rPr>
              <w:t>Supersedes Tracto RPA Architecture Review v1.1; incorporates final decision register and AD-13/AD-14</w:t>
            </w:r>
          </w:p>
        </w:tc>
      </w:tr>
      <w:tr>
        <w:trPr>
          <w:cantSplit/>
          <w:cantSplit/>
        </w:trPr>
        <w:tc>
          <w:tcPr>
            <w:tcW w:type="dxa" w:w="2232"/>
            <w:vAlign w:val="center"/>
            <w:tcMar>
              <w:top w:w="80" w:type="dxa"/>
              <w:bottom w:w="80" w:type="dxa"/>
              <w:left w:w="95" w:type="dxa"/>
              <w:right w:w="95" w:type="dxa"/>
            </w:tcMar>
          </w:tcPr>
          <w:p>
            <w:pPr>
              <w:spacing w:after="0" w:line="240" w:lineRule="auto"/>
            </w:pPr>
            <w:r>
              <w:rPr>
                <w:color w:val="15354F"/>
                <w:sz w:val="15"/>
              </w:rPr>
              <w:t>Product boundary</w:t>
            </w:r>
          </w:p>
        </w:tc>
        <w:tc>
          <w:tcPr>
            <w:tcW w:type="dxa" w:w="7416"/>
            <w:vAlign w:val="center"/>
            <w:tcMar>
              <w:top w:w="80" w:type="dxa"/>
              <w:bottom w:w="80" w:type="dxa"/>
              <w:left w:w="95" w:type="dxa"/>
              <w:right w:w="95" w:type="dxa"/>
            </w:tcMar>
          </w:tcPr>
          <w:p>
            <w:pPr>
              <w:spacing w:after="0" w:line="240" w:lineRule="auto"/>
            </w:pPr>
            <w:r>
              <w:rPr>
                <w:color w:val="15354F"/>
                <w:sz w:val="15"/>
              </w:rPr>
              <w:t>Exactly three Tracto components; business services external</w:t>
            </w:r>
          </w:p>
        </w:tc>
      </w:tr>
      <w:tr>
        <w:trPr>
          <w:cantSplit/>
          <w:cantSplit/>
        </w:trPr>
        <w:tc>
          <w:tcPr>
            <w:tcW w:type="dxa" w:w="2232"/>
            <w:vAlign w:val="center"/>
            <w:tcMar>
              <w:top w:w="80" w:type="dxa"/>
              <w:bottom w:w="80" w:type="dxa"/>
              <w:left w:w="95" w:type="dxa"/>
              <w:right w:w="95" w:type="dxa"/>
            </w:tcMar>
            <w:shd w:fill="F6F8FA"/>
          </w:tcPr>
          <w:p>
            <w:pPr>
              <w:spacing w:after="0" w:line="240" w:lineRule="auto"/>
            </w:pPr>
            <w:r>
              <w:rPr>
                <w:color w:val="15354F"/>
                <w:sz w:val="15"/>
              </w:rPr>
              <w:t>Approval state</w:t>
            </w:r>
          </w:p>
        </w:tc>
        <w:tc>
          <w:tcPr>
            <w:tcW w:type="dxa" w:w="7416"/>
            <w:vAlign w:val="center"/>
            <w:tcMar>
              <w:top w:w="80" w:type="dxa"/>
              <w:bottom w:w="80" w:type="dxa"/>
              <w:left w:w="95" w:type="dxa"/>
              <w:right w:w="95" w:type="dxa"/>
            </w:tcMar>
            <w:shd w:fill="F6F8FA"/>
          </w:tcPr>
          <w:p>
            <w:pPr>
              <w:spacing w:after="0" w:line="240" w:lineRule="auto"/>
            </w:pPr>
            <w:r>
              <w:rPr>
                <w:color w:val="15354F"/>
                <w:sz w:val="15"/>
              </w:rPr>
              <w:t>Architecture agreed conditionally; PoC outcomes pending</w:t>
            </w:r>
          </w:p>
        </w:tc>
      </w:tr>
    </w:tbl>
    <w:p>
      <w:pPr>
        <w:spacing w:after="0"/>
      </w:pPr>
    </w:p>
    <w:p>
      <w:pPr>
        <w:pStyle w:val="Heading1"/>
      </w:pPr>
      <w:r>
        <w:t>Contents</w:t>
      </w:r>
    </w:p>
    <w:p>
      <w:r>
        <w:t>1. Executive architecture statement</w:t>
      </w:r>
    </w:p>
    <w:p>
      <w:r>
        <w:t>2. Decisions and principles at a glance</w:t>
      </w:r>
    </w:p>
    <w:p>
      <w:r>
        <w:t>3. Product boundary and ownership</w:t>
      </w:r>
    </w:p>
    <w:p>
      <w:r>
        <w:t>4. Designer and recorder</w:t>
      </w:r>
    </w:p>
    <w:p>
      <w:r>
        <w:t>5. Runtime family: independent Desktop, Browser and Terminal applications</w:t>
      </w:r>
    </w:p>
    <w:p>
      <w:r>
        <w:t>6. Orchestrator and dispatch protocol</w:t>
      </w:r>
    </w:p>
    <w:p>
      <w:r>
        <w:t>7. External services and integration semantics</w:t>
      </w:r>
    </w:p>
    <w:p>
      <w:r>
        <w:t>8. Script and versioning contract</w:t>
      </w:r>
    </w:p>
    <w:p>
      <w:r>
        <w:t>9. Deployment: Connected and Isolated modes</w:t>
      </w:r>
    </w:p>
    <w:p>
      <w:r>
        <w:t>10. Identity, unattended sessions and secrets</w:t>
      </w:r>
    </w:p>
    <w:p>
      <w:r>
        <w:t>11. Security, observability and reliability</w:t>
      </w:r>
    </w:p>
    <w:p>
      <w:r>
        <w:t>12. End-to-end execution examples</w:t>
      </w:r>
    </w:p>
    <w:p>
      <w:r>
        <w:t>13. Final architecture decisions AD-01–AD-14</w:t>
      </w:r>
    </w:p>
    <w:p>
      <w:r>
        <w:t>14. Ten-test deployment PoC release gate (POC-01–POC-10)</w:t>
      </w:r>
    </w:p>
    <w:p>
      <w:r>
        <w:t>15. Delivery sequence and definition of done</w:t>
      </w:r>
    </w:p>
    <w:p>
      <w:r>
        <w:t>16. Residual implementation choices and unsupported scope</w:t>
      </w:r>
    </w:p>
    <w:p>
      <w:r>
        <w:t>Appendix A. Illustrative contracts and callback security</w:t>
      </w:r>
    </w:p>
    <w:p>
      <w:r>
        <w:t>Appendix B. Implementation reference notes</w:t>
      </w:r>
    </w:p>
    <w:p>
      <w:pPr/>
      <w:r>
        <w:t>v1.2A delta (normative): Runtime comprises three independently developed and versioned .NET worker applications; all share the minimum execution-envelope, technical-condition, security and Orchestrator protocol requirements. Mixed-engine scripts are excluded in v1. A single isolated Windows host supervisor is shared among installed workers. All original deployment and PoC decisions remain conditional and unchanged unless explicitly revised below.</w:t>
      </w:r>
    </w:p>
    <w:p>
      <w:pPr>
        <w:pStyle w:val="Heading1"/>
      </w:pPr>
      <w:r>
        <w:t>1. Executive architecture statement</w:t>
      </w:r>
    </w:p>
    <w:p>
      <w:r>
        <w:t>Tracto is a .NET-based, enterprise-controlled RPA product consisting of exactly three logical components: Designer, Execution Runtime and Orchestrator. The Execution Runtime is a family of three independently developed, deployed and versioned .NET applications: Desktop, Browser and Terminal. They remain one logical product component, not three additional components. Each has its own action catalogue and functional specification and conforms to a small common execution and Orchestrator interface contract.</w:t>
      </w:r>
    </w:p>
    <w:p>
      <w:r>
        <w:t>Tracto automates how an already-authorized operation is performed through graphical interfaces, browsers and command-line sessions. It does not decide what the business outcome should be. Business rules, data enrichment, extraction, reconciliation, approval decisions, domain transactions, persistence and business compensation belong to independent external services accessed through APIs. External business services may be written in Go, Node.js, Python, .NET, Java or any other language, deployed at any scale, and are never part of the Tracto product.</w:t>
      </w:r>
    </w:p>
    <w:p>
      <w:r>
        <w:t>The Designer may use AI during script creation; published automation is deterministic and does not require runtime LLM interpretation. Jobs are intentionally bounded. Synchronous API calls can resume inside the same run; long-running asynchronous work ends in a handoff, with a fresh run triggered upon authenticated completion.</w:t>
      </w:r>
    </w:p>
    <w:tbl>
      <w:tblPr>
        <w:tblW w:type="auto" w:w="0"/>
        <w:tblLook w:firstColumn="1" w:firstRow="1" w:lastColumn="0" w:lastRow="0" w:noHBand="0" w:noVBand="1" w:val="04A0"/>
      </w:tblPr>
      <w:tblGrid>
        <w:gridCol w:w="10080"/>
      </w:tblGrid>
      <w:tr>
        <w:trPr>
          <w:cantSplit/>
        </w:trPr>
        <w:tc>
          <w:tcPr>
            <w:tcW w:type="dxa" w:w="10080"/>
            <w:shd w:fill="EDF4F8"/>
            <w:tcMar>
              <w:top w:w="130" w:type="dxa"/>
              <w:bottom w:w="130" w:type="dxa"/>
              <w:left w:w="170" w:type="dxa"/>
              <w:right w:w="170" w:type="dxa"/>
            </w:tcMar>
          </w:tcPr>
          <w:p>
            <w:r>
              <w:rPr>
                <w:b/>
                <w:sz w:val="18"/>
              </w:rPr>
              <w:t xml:space="preserve">Non-negotiable ownership rule  </w:t>
            </w:r>
            <w:r>
              <w:t>If a condition determines HOW to perform an already-authorized interaction, it may live in Tracto. If it determines WHAT the business should do, it belongs in the external service.</w:t>
            </w:r>
          </w:p>
        </w:tc>
      </w:tr>
    </w:tbl>
    <w:p>
      <w:pPr>
        <w:spacing w:after="0"/>
      </w:pPr>
    </w:p>
    <w:p>
      <w:pPr>
        <w:pStyle w:val="Heading1"/>
      </w:pPr>
      <w:r>
        <w:t>2. Decisions and principles at a glance</w:t>
      </w:r>
    </w:p>
    <w:tbl>
      <w:tblPr>
        <w:tblStyle w:val="TableGrid"/>
        <w:tblW w:type="auto" w:w="0"/>
        <w:jc w:val="center"/>
        <w:tblLayout w:type="fixed"/>
        <w:tblLook w:firstColumn="1" w:firstRow="1" w:lastColumn="0" w:lastRow="0" w:noHBand="0" w:noVBand="1" w:val="04A0"/>
      </w:tblPr>
      <w:tblGrid>
        <w:gridCol w:w="2376"/>
        <w:gridCol w:w="7272"/>
      </w:tblGrid>
      <w:tr>
        <w:trPr>
          <w:tblHeader w:val="true"/>
          <w:tblHeader w:val="true"/>
          <w:cantSplit/>
        </w:trPr>
        <w:tc>
          <w:tcPr>
            <w:tcW w:type="dxa" w:w="5040"/>
            <w:shd w:fill="15354F"/>
            <w:tcMar>
              <w:top w:w="80" w:type="dxa"/>
              <w:bottom w:w="80" w:type="dxa"/>
              <w:left w:w="95" w:type="dxa"/>
              <w:right w:w="95" w:type="dxa"/>
            </w:tcMar>
          </w:tcPr>
          <w:p>
            <w:r>
              <w:rPr>
                <w:b/>
                <w:color w:val="FFFFFF"/>
                <w:sz w:val="16"/>
              </w:rPr>
              <w:t>Principle</w:t>
            </w:r>
          </w:p>
        </w:tc>
        <w:tc>
          <w:tcPr>
            <w:tcW w:type="dxa" w:w="5040"/>
            <w:shd w:fill="15354F"/>
            <w:tcMar>
              <w:top w:w="80" w:type="dxa"/>
              <w:bottom w:w="80" w:type="dxa"/>
              <w:left w:w="95" w:type="dxa"/>
              <w:right w:w="95" w:type="dxa"/>
            </w:tcMar>
          </w:tcPr>
          <w:p>
            <w:r>
              <w:rPr>
                <w:b/>
                <w:color w:val="FFFFFF"/>
                <w:sz w:val="16"/>
              </w:rPr>
              <w:t>Final v1.2 interpretation</w:t>
            </w:r>
          </w:p>
        </w:tc>
      </w:tr>
      <w:tr>
        <w:trPr>
          <w:cantSplit/>
          <w:cantSplit/>
        </w:trPr>
        <w:tc>
          <w:tcPr>
            <w:tcW w:type="dxa" w:w="2376"/>
            <w:vAlign w:val="center"/>
            <w:tcMar>
              <w:top w:w="80" w:type="dxa"/>
              <w:bottom w:w="80" w:type="dxa"/>
              <w:left w:w="95" w:type="dxa"/>
              <w:right w:w="95" w:type="dxa"/>
            </w:tcMar>
          </w:tcPr>
          <w:p>
            <w:pPr>
              <w:spacing w:after="0" w:line="240" w:lineRule="auto"/>
            </w:pPr>
            <w:r>
              <w:rPr>
                <w:color w:val="15354F"/>
                <w:sz w:val="15"/>
              </w:rPr>
              <w:t>Three components, not four</w:t>
            </w:r>
          </w:p>
        </w:tc>
        <w:tc>
          <w:tcPr>
            <w:tcW w:type="dxa" w:w="7272"/>
            <w:vAlign w:val="center"/>
            <w:tcMar>
              <w:top w:w="80" w:type="dxa"/>
              <w:bottom w:w="80" w:type="dxa"/>
              <w:left w:w="95" w:type="dxa"/>
              <w:right w:w="95" w:type="dxa"/>
            </w:tcMar>
          </w:tcPr>
          <w:p>
            <w:pPr>
              <w:spacing w:after="0" w:line="240" w:lineRule="auto"/>
            </w:pPr>
            <w:r>
              <w:rPr>
                <w:color w:val="15354F"/>
                <w:sz w:val="15"/>
              </w:rPr>
              <w:t>Designer, Runtime and Orchestrator only; independent business services are outside the product boundary.</w:t>
            </w:r>
          </w:p>
        </w:tc>
      </w:tr>
      <w:tr>
        <w:trPr>
          <w:cantSplit/>
          <w:cantSplit/>
        </w:trPr>
        <w:tc>
          <w:tcPr>
            <w:tcW w:type="dxa" w:w="2376"/>
            <w:vAlign w:val="center"/>
            <w:tcMar>
              <w:top w:w="80" w:type="dxa"/>
              <w:bottom w:w="80" w:type="dxa"/>
              <w:left w:w="95" w:type="dxa"/>
              <w:right w:w="95" w:type="dxa"/>
            </w:tcMar>
            <w:shd w:fill="F6F8FA"/>
          </w:tcPr>
          <w:p>
            <w:pPr>
              <w:spacing w:after="0" w:line="240" w:lineRule="auto"/>
            </w:pPr>
            <w:r>
              <w:rPr>
                <w:color w:val="15354F"/>
                <w:sz w:val="15"/>
              </w:rPr>
              <w:t>Technology</w:t>
            </w:r>
          </w:p>
        </w:tc>
        <w:tc>
          <w:tcPr>
            <w:tcW w:type="dxa" w:w="7272"/>
            <w:vAlign w:val="center"/>
            <w:tcMar>
              <w:top w:w="80" w:type="dxa"/>
              <w:bottom w:w="80" w:type="dxa"/>
              <w:left w:w="95" w:type="dxa"/>
              <w:right w:w="95" w:type="dxa"/>
            </w:tcMar>
            <w:shd w:fill="F6F8FA"/>
          </w:tcPr>
          <w:p>
            <w:pPr>
              <w:spacing w:after="0" w:line="240" w:lineRule="auto"/>
            </w:pPr>
            <w:r>
              <w:rPr>
                <w:color w:val="15354F"/>
                <w:sz w:val="15"/>
              </w:rPr>
              <w:t>Tracto components use modern .NET. The Orchestrator is packaged exclusively as a Linux container in the approved topology; Designer and Runtime execute on Windows.</w:t>
            </w:r>
          </w:p>
        </w:tc>
      </w:tr>
      <w:tr>
        <w:trPr>
          <w:cantSplit/>
          <w:cantSplit/>
        </w:trPr>
        <w:tc>
          <w:tcPr>
            <w:tcW w:type="dxa" w:w="2376"/>
            <w:vAlign w:val="center"/>
            <w:tcMar>
              <w:top w:w="80" w:type="dxa"/>
              <w:bottom w:w="80" w:type="dxa"/>
              <w:left w:w="95" w:type="dxa"/>
              <w:right w:w="95" w:type="dxa"/>
            </w:tcMar>
          </w:tcPr>
          <w:p>
            <w:pPr>
              <w:spacing w:after="0" w:line="240" w:lineRule="auto"/>
            </w:pPr>
            <w:r>
              <w:rPr>
                <w:color w:val="15354F"/>
                <w:sz w:val="15"/>
              </w:rPr>
              <w:t>Thin but correct</w:t>
            </w:r>
          </w:p>
        </w:tc>
        <w:tc>
          <w:tcPr>
            <w:tcW w:type="dxa" w:w="7272"/>
            <w:vAlign w:val="center"/>
            <w:tcMar>
              <w:top w:w="80" w:type="dxa"/>
              <w:bottom w:w="80" w:type="dxa"/>
              <w:left w:w="95" w:type="dxa"/>
              <w:right w:w="95" w:type="dxa"/>
            </w:tcMar>
          </w:tcPr>
          <w:p>
            <w:pPr>
              <w:spacing w:after="0" w:line="240" w:lineRule="auto"/>
            </w:pPr>
            <w:r>
              <w:rPr>
                <w:color w:val="15354F"/>
                <w:sz w:val="15"/>
              </w:rPr>
              <w:t>Thin in responsibilities, not in reliability engineering. "Light on features, not on correctness."</w:t>
            </w:r>
          </w:p>
        </w:tc>
      </w:tr>
      <w:tr>
        <w:trPr>
          <w:cantSplit/>
          <w:cantSplit/>
        </w:trPr>
        <w:tc>
          <w:tcPr>
            <w:tcW w:type="dxa" w:w="2376"/>
            <w:vAlign w:val="center"/>
            <w:tcMar>
              <w:top w:w="80" w:type="dxa"/>
              <w:bottom w:w="80" w:type="dxa"/>
              <w:left w:w="95" w:type="dxa"/>
              <w:right w:w="95" w:type="dxa"/>
            </w:tcMar>
            <w:shd w:fill="F6F8FA"/>
          </w:tcPr>
          <w:p>
            <w:pPr>
              <w:spacing w:after="0" w:line="240" w:lineRule="auto"/>
            </w:pPr>
            <w:r>
              <w:rPr>
                <w:color w:val="15354F"/>
                <w:sz w:val="15"/>
              </w:rPr>
              <w:t>Deterministic execution</w:t>
            </w:r>
          </w:p>
        </w:tc>
        <w:tc>
          <w:tcPr>
            <w:tcW w:type="dxa" w:w="7272"/>
            <w:vAlign w:val="center"/>
            <w:tcMar>
              <w:top w:w="80" w:type="dxa"/>
              <w:bottom w:w="80" w:type="dxa"/>
              <w:left w:w="95" w:type="dxa"/>
              <w:right w:w="95" w:type="dxa"/>
            </w:tcMar>
            <w:shd w:fill="F6F8FA"/>
          </w:tcPr>
          <w:p>
            <w:pPr>
              <w:spacing w:after="0" w:line="240" w:lineRule="auto"/>
            </w:pPr>
            <w:r>
              <w:rPr>
                <w:color w:val="15354F"/>
                <w:sz w:val="15"/>
              </w:rPr>
              <w:t>The LLM creates drafts in the Designer; the Runtime executes versioned action artifacts without an LLM in the loop.</w:t>
            </w:r>
          </w:p>
        </w:tc>
      </w:tr>
      <w:tr>
        <w:trPr>
          <w:cantSplit/>
          <w:cantSplit/>
        </w:trPr>
        <w:tc>
          <w:tcPr>
            <w:tcW w:type="dxa" w:w="2376"/>
            <w:vAlign w:val="center"/>
            <w:tcMar>
              <w:top w:w="80" w:type="dxa"/>
              <w:bottom w:w="80" w:type="dxa"/>
              <w:left w:w="95" w:type="dxa"/>
              <w:right w:w="95" w:type="dxa"/>
            </w:tcMar>
          </w:tcPr>
          <w:p>
            <w:r>
              <w:t>Independent Runtime applications</w:t>
            </w:r>
          </w:p>
        </w:tc>
        <w:tc>
          <w:tcPr>
            <w:tcW w:type="dxa" w:w="7272"/>
            <w:vAlign w:val="center"/>
            <w:tcMar>
              <w:top w:w="80" w:type="dxa"/>
              <w:bottom w:w="80" w:type="dxa"/>
              <w:left w:w="95" w:type="dxa"/>
              <w:right w:w="95" w:type="dxa"/>
            </w:tcMar>
          </w:tcPr>
          <w:p>
            <w:r>
              <w:t>Desktop / Browser / Terminal; independent .NET workers with common contracts; no fourth Citrix/OCR engine in v1.</w:t>
            </w:r>
          </w:p>
        </w:tc>
      </w:tr>
      <w:tr>
        <w:trPr>
          <w:cantSplit/>
          <w:cantSplit/>
        </w:trPr>
        <w:tc>
          <w:tcPr>
            <w:tcW w:type="dxa" w:w="2376"/>
            <w:vAlign w:val="center"/>
            <w:tcMar>
              <w:top w:w="80" w:type="dxa"/>
              <w:bottom w:w="80" w:type="dxa"/>
              <w:left w:w="95" w:type="dxa"/>
              <w:right w:w="95" w:type="dxa"/>
            </w:tcMar>
            <w:shd w:fill="F6F8FA"/>
          </w:tcPr>
          <w:p>
            <w:pPr>
              <w:spacing w:after="0" w:line="240" w:lineRule="auto"/>
            </w:pPr>
            <w:r>
              <w:rPr>
                <w:color w:val="15354F"/>
                <w:sz w:val="15"/>
              </w:rPr>
              <w:t>Known support boundary</w:t>
            </w:r>
          </w:p>
        </w:tc>
        <w:tc>
          <w:tcPr>
            <w:tcW w:type="dxa" w:w="7272"/>
            <w:vAlign w:val="center"/>
            <w:tcMar>
              <w:top w:w="80" w:type="dxa"/>
              <w:bottom w:w="80" w:type="dxa"/>
              <w:left w:w="95" w:type="dxa"/>
              <w:right w:w="95" w:type="dxa"/>
            </w:tcMar>
            <w:shd w:fill="F6F8FA"/>
          </w:tcPr>
          <w:p>
            <w:pPr>
              <w:spacing w:after="0" w:line="240" w:lineRule="auto"/>
            </w:pPr>
            <w:r>
              <w:rPr>
                <w:color w:val="15354F"/>
                <w:sz w:val="15"/>
              </w:rPr>
              <w:t>No pixel-only remote display automation; the Runtime must be installed inside the same supported desktop session as the target app.</w:t>
            </w:r>
          </w:p>
        </w:tc>
      </w:tr>
      <w:tr>
        <w:trPr>
          <w:cantSplit/>
          <w:cantSplit/>
        </w:trPr>
        <w:tc>
          <w:tcPr>
            <w:tcW w:type="dxa" w:w="2376"/>
            <w:vAlign w:val="center"/>
            <w:tcMar>
              <w:top w:w="80" w:type="dxa"/>
              <w:bottom w:w="80" w:type="dxa"/>
              <w:left w:w="95" w:type="dxa"/>
              <w:right w:w="95" w:type="dxa"/>
            </w:tcMar>
          </w:tcPr>
          <w:p>
            <w:pPr>
              <w:spacing w:after="0" w:line="240" w:lineRule="auto"/>
            </w:pPr>
            <w:r>
              <w:rPr>
                <w:color w:val="15354F"/>
                <w:sz w:val="15"/>
              </w:rPr>
              <w:t>Dispatch</w:t>
            </w:r>
          </w:p>
        </w:tc>
        <w:tc>
          <w:tcPr>
            <w:tcW w:type="dxa" w:w="7272"/>
            <w:vAlign w:val="center"/>
            <w:tcMar>
              <w:top w:w="80" w:type="dxa"/>
              <w:bottom w:w="80" w:type="dxa"/>
              <w:left w:w="95" w:type="dxa"/>
              <w:right w:w="95" w:type="dxa"/>
            </w:tcMar>
          </w:tcPr>
          <w:p>
            <w:pPr>
              <w:spacing w:after="0" w:line="240" w:lineRule="auto"/>
            </w:pPr>
            <w:r>
              <w:rPr>
                <w:color w:val="15354F"/>
                <w:sz w:val="15"/>
              </w:rPr>
              <w:t>Runtime-initiated outbound pull, lease and heartbeat; identical logical contract on network or localhost.</w:t>
            </w:r>
          </w:p>
        </w:tc>
      </w:tr>
      <w:tr>
        <w:trPr>
          <w:cantSplit/>
          <w:cantSplit/>
        </w:trPr>
        <w:tc>
          <w:tcPr>
            <w:tcW w:type="dxa" w:w="2376"/>
            <w:vAlign w:val="center"/>
            <w:tcMar>
              <w:top w:w="80" w:type="dxa"/>
              <w:bottom w:w="80" w:type="dxa"/>
              <w:left w:w="95" w:type="dxa"/>
              <w:right w:w="95" w:type="dxa"/>
            </w:tcMar>
            <w:shd w:fill="F6F8FA"/>
          </w:tcPr>
          <w:p>
            <w:pPr>
              <w:spacing w:after="0" w:line="240" w:lineRule="auto"/>
            </w:pPr>
            <w:r>
              <w:rPr>
                <w:color w:val="15354F"/>
                <w:sz w:val="15"/>
              </w:rPr>
              <w:t>Capacity</w:t>
            </w:r>
          </w:p>
        </w:tc>
        <w:tc>
          <w:tcPr>
            <w:tcW w:type="dxa" w:w="7272"/>
            <w:vAlign w:val="center"/>
            <w:tcMar>
              <w:top w:w="80" w:type="dxa"/>
              <w:bottom w:w="80" w:type="dxa"/>
              <w:left w:w="95" w:type="dxa"/>
              <w:right w:w="95" w:type="dxa"/>
            </w:tcMar>
            <w:shd w:fill="F6F8FA"/>
          </w:tcPr>
          <w:p>
            <w:pPr>
              <w:spacing w:after="0" w:line="240" w:lineRule="auto"/>
            </w:pPr>
            <w:r>
              <w:rPr>
                <w:color w:val="15354F"/>
                <w:sz w:val="15"/>
              </w:rPr>
              <w:t>One active job per bot worker in v1; add bot desktops/workers for capacity.</w:t>
            </w:r>
          </w:p>
        </w:tc>
      </w:tr>
      <w:tr>
        <w:trPr>
          <w:cantSplit/>
          <w:cantSplit/>
        </w:trPr>
        <w:tc>
          <w:tcPr>
            <w:tcW w:type="dxa" w:w="2376"/>
            <w:vAlign w:val="center"/>
            <w:tcMar>
              <w:top w:w="80" w:type="dxa"/>
              <w:bottom w:w="80" w:type="dxa"/>
              <w:left w:w="95" w:type="dxa"/>
              <w:right w:w="95" w:type="dxa"/>
            </w:tcMar>
          </w:tcPr>
          <w:p>
            <w:pPr>
              <w:spacing w:after="0" w:line="240" w:lineRule="auto"/>
            </w:pPr>
            <w:r>
              <w:rPr>
                <w:color w:val="15354F"/>
                <w:sz w:val="15"/>
              </w:rPr>
              <w:t>Two deployments</w:t>
            </w:r>
          </w:p>
        </w:tc>
        <w:tc>
          <w:tcPr>
            <w:tcW w:type="dxa" w:w="7272"/>
            <w:vAlign w:val="center"/>
            <w:tcMar>
              <w:top w:w="80" w:type="dxa"/>
              <w:bottom w:w="80" w:type="dxa"/>
              <w:left w:w="95" w:type="dxa"/>
              <w:right w:w="95" w:type="dxa"/>
            </w:tcMar>
          </w:tcPr>
          <w:p>
            <w:pPr>
              <w:spacing w:after="0" w:line="240" w:lineRule="auto"/>
            </w:pPr>
            <w:r>
              <w:rPr>
                <w:color w:val="15354F"/>
                <w:sz w:val="15"/>
              </w:rPr>
              <w:t>Connected: central Linux-container Orchestrator. Isolated: local Linux-container Orchestrator + optionally customer business-service containers on Docker Engine in WSL2.</w:t>
            </w:r>
          </w:p>
        </w:tc>
      </w:tr>
      <w:tr>
        <w:trPr>
          <w:cantSplit/>
          <w:cantSplit/>
        </w:trPr>
        <w:tc>
          <w:tcPr>
            <w:tcW w:type="dxa" w:w="2376"/>
            <w:vAlign w:val="center"/>
            <w:tcMar>
              <w:top w:w="80" w:type="dxa"/>
              <w:bottom w:w="80" w:type="dxa"/>
              <w:left w:w="95" w:type="dxa"/>
              <w:right w:w="95" w:type="dxa"/>
            </w:tcMar>
            <w:shd w:fill="F6F8FA"/>
          </w:tcPr>
          <w:p>
            <w:pPr>
              <w:spacing w:after="0" w:line="240" w:lineRule="auto"/>
            </w:pPr>
            <w:r>
              <w:rPr>
                <w:color w:val="15354F"/>
                <w:sz w:val="15"/>
              </w:rPr>
              <w:t>No unsupported environments</w:t>
            </w:r>
          </w:p>
        </w:tc>
        <w:tc>
          <w:tcPr>
            <w:tcW w:type="dxa" w:w="7272"/>
            <w:vAlign w:val="center"/>
            <w:tcMar>
              <w:top w:w="80" w:type="dxa"/>
              <w:bottom w:w="80" w:type="dxa"/>
              <w:left w:w="95" w:type="dxa"/>
              <w:right w:w="95" w:type="dxa"/>
            </w:tcMar>
            <w:shd w:fill="F6F8FA"/>
          </w:tcPr>
          <w:p>
            <w:pPr>
              <w:spacing w:after="0" w:line="240" w:lineRule="auto"/>
            </w:pPr>
            <w:r>
              <w:rPr>
                <w:color w:val="15354F"/>
                <w:sz w:val="15"/>
              </w:rPr>
              <w:t>If Tracto cannot be installed in the environment under the certified model, that environment is not supported.</w:t>
            </w:r>
          </w:p>
        </w:tc>
      </w:tr>
    </w:tbl>
    <w:p>
      <w:pPr>
        <w:spacing w:after="0"/>
      </w:pPr>
    </w:p>
    <w:p>
      <w:pPr>
        <w:pStyle w:val="Heading1"/>
      </w:pPr>
      <w:r>
        <w:t>3. Product boundary and responsibility ownership</w:t>
      </w:r>
    </w:p>
    <w:p>
      <w:pPr>
        <w:pStyle w:val="Heading2"/>
      </w:pPr>
      <w:r>
        <w:t>3.1 System-of-systems model</w:t>
      </w:r>
    </w:p>
    <w:p>
      <w:r>
        <w:t>Inside Tracto: the Designer publishes approved, signed automation artifacts to the registry/Orchestrator, never directly to any Runtime. Independently packaged Desktop, Browser and Terminal workers pull approved jobs and retrieve immutable artifacts; action payloads are runtime-specific. The Orchestrator owns schedules, attempts, leases, continuation mappings, and technical run metadata. Each Runtime calls independent business APIs directly; asynchronous completion callbacks reach the Orchestrator. Shared contracts and mandatory security behavior preserve interoperability without imposing shared runtime implementations.</w:t>
      </w:r>
    </w:p>
    <w:p>
      <w:pPr>
        <w:pStyle w:val="Heading2"/>
      </w:pPr>
      <w:r>
        <w:t>3.2 Ownership matrix</w:t>
      </w:r>
    </w:p>
    <w:tbl>
      <w:tblPr>
        <w:tblStyle w:val="TableGrid"/>
        <w:tblW w:type="auto" w:w="0"/>
        <w:jc w:val="center"/>
        <w:tblLayout w:type="fixed"/>
        <w:tblLook w:firstColumn="1" w:firstRow="1" w:lastColumn="0" w:lastRow="0" w:noHBand="0" w:noVBand="1" w:val="04A0"/>
      </w:tblPr>
      <w:tblGrid>
        <w:gridCol w:w="3600"/>
        <w:gridCol w:w="2232"/>
        <w:gridCol w:w="3816"/>
      </w:tblGrid>
      <w:tr>
        <w:trPr>
          <w:tblHeader w:val="true"/>
          <w:tblHeader w:val="true"/>
          <w:cantSplit/>
        </w:trPr>
        <w:tc>
          <w:tcPr>
            <w:tcW w:type="dxa" w:w="3360"/>
            <w:shd w:fill="15354F"/>
            <w:tcMar>
              <w:top w:w="80" w:type="dxa"/>
              <w:bottom w:w="80" w:type="dxa"/>
              <w:left w:w="95" w:type="dxa"/>
              <w:right w:w="95" w:type="dxa"/>
            </w:tcMar>
          </w:tcPr>
          <w:p>
            <w:r>
              <w:rPr>
                <w:b/>
                <w:color w:val="FFFFFF"/>
                <w:sz w:val="16"/>
              </w:rPr>
              <w:t>Capability</w:t>
            </w:r>
          </w:p>
        </w:tc>
        <w:tc>
          <w:tcPr>
            <w:tcW w:type="dxa" w:w="3360"/>
            <w:shd w:fill="15354F"/>
            <w:tcMar>
              <w:top w:w="80" w:type="dxa"/>
              <w:bottom w:w="80" w:type="dxa"/>
              <w:left w:w="95" w:type="dxa"/>
              <w:right w:w="95" w:type="dxa"/>
            </w:tcMar>
          </w:tcPr>
          <w:p>
            <w:r>
              <w:rPr>
                <w:b/>
                <w:color w:val="FFFFFF"/>
                <w:sz w:val="16"/>
              </w:rPr>
              <w:t>Tracto owner</w:t>
            </w:r>
          </w:p>
        </w:tc>
        <w:tc>
          <w:tcPr>
            <w:tcW w:type="dxa" w:w="3360"/>
            <w:shd w:fill="15354F"/>
            <w:tcMar>
              <w:top w:w="80" w:type="dxa"/>
              <w:bottom w:w="80" w:type="dxa"/>
              <w:left w:w="95" w:type="dxa"/>
              <w:right w:w="95" w:type="dxa"/>
            </w:tcMar>
          </w:tcPr>
          <w:p>
            <w:r>
              <w:rPr>
                <w:b/>
                <w:color w:val="FFFFFF"/>
                <w:sz w:val="16"/>
              </w:rPr>
              <w:t>External service role</w:t>
            </w:r>
          </w:p>
        </w:tc>
      </w:tr>
      <w:tr>
        <w:trPr>
          <w:cantSplit/>
          <w:cantSplit/>
        </w:trPr>
        <w:tc>
          <w:tcPr>
            <w:tcW w:type="dxa" w:w="3600"/>
            <w:vAlign w:val="center"/>
            <w:tcMar>
              <w:top w:w="80" w:type="dxa"/>
              <w:bottom w:w="80" w:type="dxa"/>
              <w:left w:w="95" w:type="dxa"/>
              <w:right w:w="95" w:type="dxa"/>
            </w:tcMar>
          </w:tcPr>
          <w:p>
            <w:pPr>
              <w:spacing w:after="0" w:line="240" w:lineRule="auto"/>
            </w:pPr>
            <w:r>
              <w:rPr>
                <w:color w:val="15354F"/>
                <w:sz w:val="15"/>
              </w:rPr>
              <w:t>Record UI activity and narration</w:t>
            </w:r>
          </w:p>
        </w:tc>
        <w:tc>
          <w:tcPr>
            <w:tcW w:type="dxa" w:w="2232"/>
            <w:vAlign w:val="center"/>
            <w:tcMar>
              <w:top w:w="80" w:type="dxa"/>
              <w:bottom w:w="80" w:type="dxa"/>
              <w:left w:w="95" w:type="dxa"/>
              <w:right w:w="95" w:type="dxa"/>
            </w:tcMar>
          </w:tcPr>
          <w:p>
            <w:pPr>
              <w:spacing w:after="0" w:line="240" w:lineRule="auto"/>
            </w:pPr>
            <w:r>
              <w:rPr>
                <w:color w:val="15354F"/>
                <w:sz w:val="15"/>
              </w:rPr>
              <w:t>Designer</w:t>
            </w:r>
          </w:p>
        </w:tc>
        <w:tc>
          <w:tcPr>
            <w:tcW w:type="dxa" w:w="3816"/>
            <w:vAlign w:val="center"/>
            <w:tcMar>
              <w:top w:w="80" w:type="dxa"/>
              <w:bottom w:w="80" w:type="dxa"/>
              <w:left w:w="95" w:type="dxa"/>
              <w:right w:w="95" w:type="dxa"/>
            </w:tcMar>
          </w:tcPr>
          <w:p>
            <w:pPr>
              <w:spacing w:after="0" w:line="240" w:lineRule="auto"/>
            </w:pPr>
            <w:r>
              <w:rPr>
                <w:color w:val="15354F"/>
                <w:sz w:val="15"/>
              </w:rPr>
              <w:t>None</w:t>
            </w:r>
          </w:p>
        </w:tc>
      </w:tr>
      <w:tr>
        <w:trPr>
          <w:cantSplit/>
          <w:cantSplit/>
        </w:trPr>
        <w:tc>
          <w:tcPr>
            <w:tcW w:type="dxa" w:w="3600"/>
            <w:vAlign w:val="center"/>
            <w:tcMar>
              <w:top w:w="80" w:type="dxa"/>
              <w:bottom w:w="80" w:type="dxa"/>
              <w:left w:w="95" w:type="dxa"/>
              <w:right w:w="95" w:type="dxa"/>
            </w:tcMar>
            <w:shd w:fill="F6F8FA"/>
          </w:tcPr>
          <w:p>
            <w:pPr>
              <w:spacing w:after="0" w:line="240" w:lineRule="auto"/>
            </w:pPr>
            <w:r>
              <w:rPr>
                <w:color w:val="15354F"/>
                <w:sz w:val="15"/>
              </w:rPr>
              <w:t>AI script generation, editing and publishing</w:t>
            </w:r>
          </w:p>
        </w:tc>
        <w:tc>
          <w:tcPr>
            <w:tcW w:type="dxa" w:w="2232"/>
            <w:vAlign w:val="center"/>
            <w:tcMar>
              <w:top w:w="80" w:type="dxa"/>
              <w:bottom w:w="80" w:type="dxa"/>
              <w:left w:w="95" w:type="dxa"/>
              <w:right w:w="95" w:type="dxa"/>
            </w:tcMar>
            <w:shd w:fill="F6F8FA"/>
          </w:tcPr>
          <w:p>
            <w:pPr>
              <w:spacing w:after="0" w:line="240" w:lineRule="auto"/>
            </w:pPr>
            <w:r>
              <w:rPr>
                <w:color w:val="15354F"/>
                <w:sz w:val="15"/>
              </w:rPr>
              <w:t>Designer</w:t>
            </w:r>
          </w:p>
        </w:tc>
        <w:tc>
          <w:tcPr>
            <w:tcW w:type="dxa" w:w="3816"/>
            <w:vAlign w:val="center"/>
            <w:tcMar>
              <w:top w:w="80" w:type="dxa"/>
              <w:bottom w:w="80" w:type="dxa"/>
              <w:left w:w="95" w:type="dxa"/>
              <w:right w:w="95" w:type="dxa"/>
            </w:tcMar>
            <w:shd w:fill="F6F8FA"/>
          </w:tcPr>
          <w:p>
            <w:pPr>
              <w:spacing w:after="0" w:line="240" w:lineRule="auto"/>
            </w:pPr>
            <w:r>
              <w:rPr>
                <w:color w:val="15354F"/>
                <w:sz w:val="15"/>
              </w:rPr>
              <w:t>None</w:t>
            </w:r>
          </w:p>
        </w:tc>
      </w:tr>
      <w:tr>
        <w:trPr>
          <w:cantSplit/>
          <w:cantSplit/>
        </w:trPr>
        <w:tc>
          <w:tcPr>
            <w:tcW w:type="dxa" w:w="3600"/>
            <w:vAlign w:val="center"/>
            <w:tcMar>
              <w:top w:w="80" w:type="dxa"/>
              <w:bottom w:w="80" w:type="dxa"/>
              <w:left w:w="95" w:type="dxa"/>
              <w:right w:w="95" w:type="dxa"/>
            </w:tcMar>
          </w:tcPr>
          <w:p>
            <w:pPr>
              <w:spacing w:after="0" w:line="240" w:lineRule="auto"/>
            </w:pPr>
            <w:r>
              <w:rPr>
                <w:color w:val="15354F"/>
                <w:sz w:val="15"/>
              </w:rPr>
              <w:t>UI/DOM/CLI actions, waits and recovery</w:t>
            </w:r>
          </w:p>
        </w:tc>
        <w:tc>
          <w:tcPr>
            <w:tcW w:type="dxa" w:w="2232"/>
            <w:vAlign w:val="center"/>
            <w:tcMar>
              <w:top w:w="80" w:type="dxa"/>
              <w:bottom w:w="80" w:type="dxa"/>
              <w:left w:w="95" w:type="dxa"/>
              <w:right w:w="95" w:type="dxa"/>
            </w:tcMar>
          </w:tcPr>
          <w:p>
            <w:pPr>
              <w:spacing w:after="0" w:line="240" w:lineRule="auto"/>
            </w:pPr>
            <w:r>
              <w:rPr>
                <w:color w:val="15354F"/>
                <w:sz w:val="15"/>
              </w:rPr>
              <w:t>Runtime</w:t>
            </w:r>
          </w:p>
        </w:tc>
        <w:tc>
          <w:tcPr>
            <w:tcW w:type="dxa" w:w="3816"/>
            <w:vAlign w:val="center"/>
            <w:tcMar>
              <w:top w:w="80" w:type="dxa"/>
              <w:bottom w:w="80" w:type="dxa"/>
              <w:left w:w="95" w:type="dxa"/>
              <w:right w:w="95" w:type="dxa"/>
            </w:tcMar>
          </w:tcPr>
          <w:p>
            <w:pPr>
              <w:spacing w:after="0" w:line="240" w:lineRule="auto"/>
            </w:pPr>
            <w:r>
              <w:rPr>
                <w:color w:val="15354F"/>
                <w:sz w:val="15"/>
              </w:rPr>
              <w:t>None</w:t>
            </w:r>
          </w:p>
        </w:tc>
      </w:tr>
      <w:tr>
        <w:trPr>
          <w:cantSplit/>
          <w:cantSplit/>
        </w:trPr>
        <w:tc>
          <w:tcPr>
            <w:tcW w:type="dxa" w:w="3600"/>
            <w:vAlign w:val="center"/>
            <w:tcMar>
              <w:top w:w="80" w:type="dxa"/>
              <w:bottom w:w="80" w:type="dxa"/>
              <w:left w:w="95" w:type="dxa"/>
              <w:right w:w="95" w:type="dxa"/>
            </w:tcMar>
            <w:shd w:fill="F6F8FA"/>
          </w:tcPr>
          <w:p>
            <w:pPr>
              <w:spacing w:after="0" w:line="240" w:lineRule="auto"/>
            </w:pPr>
            <w:r>
              <w:rPr>
                <w:color w:val="15354F"/>
                <w:sz w:val="15"/>
              </w:rPr>
              <w:t>Synchronous calls to business APIs</w:t>
            </w:r>
          </w:p>
        </w:tc>
        <w:tc>
          <w:tcPr>
            <w:tcW w:type="dxa" w:w="2232"/>
            <w:vAlign w:val="center"/>
            <w:tcMar>
              <w:top w:w="80" w:type="dxa"/>
              <w:bottom w:w="80" w:type="dxa"/>
              <w:left w:w="95" w:type="dxa"/>
              <w:right w:w="95" w:type="dxa"/>
            </w:tcMar>
            <w:shd w:fill="F6F8FA"/>
          </w:tcPr>
          <w:p>
            <w:pPr>
              <w:spacing w:after="0" w:line="240" w:lineRule="auto"/>
            </w:pPr>
            <w:r>
              <w:rPr>
                <w:color w:val="15354F"/>
                <w:sz w:val="15"/>
              </w:rPr>
              <w:t>Runtime</w:t>
            </w:r>
          </w:p>
        </w:tc>
        <w:tc>
          <w:tcPr>
            <w:tcW w:type="dxa" w:w="3816"/>
            <w:vAlign w:val="center"/>
            <w:tcMar>
              <w:top w:w="80" w:type="dxa"/>
              <w:bottom w:w="80" w:type="dxa"/>
              <w:left w:w="95" w:type="dxa"/>
              <w:right w:w="95" w:type="dxa"/>
            </w:tcMar>
            <w:shd w:fill="F6F8FA"/>
          </w:tcPr>
          <w:p>
            <w:pPr>
              <w:spacing w:after="0" w:line="240" w:lineRule="auto"/>
            </w:pPr>
            <w:r>
              <w:rPr>
                <w:color w:val="15354F"/>
                <w:sz w:val="15"/>
              </w:rPr>
              <w:t>Receives/processes</w:t>
            </w:r>
          </w:p>
        </w:tc>
      </w:tr>
      <w:tr>
        <w:trPr>
          <w:cantSplit/>
          <w:cantSplit/>
        </w:trPr>
        <w:tc>
          <w:tcPr>
            <w:tcW w:type="dxa" w:w="3600"/>
            <w:vAlign w:val="center"/>
            <w:tcMar>
              <w:top w:w="80" w:type="dxa"/>
              <w:bottom w:w="80" w:type="dxa"/>
              <w:left w:w="95" w:type="dxa"/>
              <w:right w:w="95" w:type="dxa"/>
            </w:tcMar>
          </w:tcPr>
          <w:p>
            <w:pPr>
              <w:spacing w:after="0" w:line="240" w:lineRule="auto"/>
            </w:pPr>
            <w:r>
              <w:rPr>
                <w:color w:val="15354F"/>
                <w:sz w:val="15"/>
              </w:rPr>
              <w:t>Bot registration, queueing, leasing, heartbeat</w:t>
            </w:r>
          </w:p>
        </w:tc>
        <w:tc>
          <w:tcPr>
            <w:tcW w:type="dxa" w:w="2232"/>
            <w:vAlign w:val="center"/>
            <w:tcMar>
              <w:top w:w="80" w:type="dxa"/>
              <w:bottom w:w="80" w:type="dxa"/>
              <w:left w:w="95" w:type="dxa"/>
              <w:right w:w="95" w:type="dxa"/>
            </w:tcMar>
          </w:tcPr>
          <w:p>
            <w:pPr>
              <w:spacing w:after="0" w:line="240" w:lineRule="auto"/>
            </w:pPr>
            <w:r>
              <w:rPr>
                <w:color w:val="15354F"/>
                <w:sz w:val="15"/>
              </w:rPr>
              <w:t>Orchestrator</w:t>
            </w:r>
          </w:p>
        </w:tc>
        <w:tc>
          <w:tcPr>
            <w:tcW w:type="dxa" w:w="3816"/>
            <w:vAlign w:val="center"/>
            <w:tcMar>
              <w:top w:w="80" w:type="dxa"/>
              <w:bottom w:w="80" w:type="dxa"/>
              <w:left w:w="95" w:type="dxa"/>
              <w:right w:w="95" w:type="dxa"/>
            </w:tcMar>
          </w:tcPr>
          <w:p>
            <w:pPr>
              <w:spacing w:after="0" w:line="240" w:lineRule="auto"/>
            </w:pPr>
            <w:r>
              <w:rPr>
                <w:color w:val="15354F"/>
                <w:sz w:val="15"/>
              </w:rPr>
              <w:t>None</w:t>
            </w:r>
          </w:p>
        </w:tc>
      </w:tr>
      <w:tr>
        <w:trPr>
          <w:cantSplit/>
          <w:cantSplit/>
        </w:trPr>
        <w:tc>
          <w:tcPr>
            <w:tcW w:type="dxa" w:w="3600"/>
            <w:vAlign w:val="center"/>
            <w:tcMar>
              <w:top w:w="80" w:type="dxa"/>
              <w:bottom w:w="80" w:type="dxa"/>
              <w:left w:w="95" w:type="dxa"/>
              <w:right w:w="95" w:type="dxa"/>
            </w:tcMar>
            <w:shd w:fill="F6F8FA"/>
          </w:tcPr>
          <w:p>
            <w:pPr>
              <w:spacing w:after="0" w:line="240" w:lineRule="auto"/>
            </w:pPr>
            <w:r>
              <w:rPr>
                <w:color w:val="15354F"/>
                <w:sz w:val="15"/>
              </w:rPr>
              <w:t>Run logs and action evidence</w:t>
            </w:r>
          </w:p>
        </w:tc>
        <w:tc>
          <w:tcPr>
            <w:tcW w:type="dxa" w:w="2232"/>
            <w:vAlign w:val="center"/>
            <w:tcMar>
              <w:top w:w="80" w:type="dxa"/>
              <w:bottom w:w="80" w:type="dxa"/>
              <w:left w:w="95" w:type="dxa"/>
              <w:right w:w="95" w:type="dxa"/>
            </w:tcMar>
            <w:shd w:fill="F6F8FA"/>
          </w:tcPr>
          <w:p>
            <w:pPr>
              <w:spacing w:after="0" w:line="240" w:lineRule="auto"/>
            </w:pPr>
            <w:r>
              <w:rPr>
                <w:color w:val="15354F"/>
                <w:sz w:val="15"/>
              </w:rPr>
              <w:t>Runtime + Orchestrator</w:t>
            </w:r>
          </w:p>
        </w:tc>
        <w:tc>
          <w:tcPr>
            <w:tcW w:type="dxa" w:w="3816"/>
            <w:vAlign w:val="center"/>
            <w:tcMar>
              <w:top w:w="80" w:type="dxa"/>
              <w:bottom w:w="80" w:type="dxa"/>
              <w:left w:w="95" w:type="dxa"/>
              <w:right w:w="95" w:type="dxa"/>
            </w:tcMar>
            <w:shd w:fill="F6F8FA"/>
          </w:tcPr>
          <w:p>
            <w:pPr>
              <w:spacing w:after="0" w:line="240" w:lineRule="auto"/>
            </w:pPr>
            <w:r>
              <w:rPr>
                <w:color w:val="15354F"/>
                <w:sz w:val="15"/>
              </w:rPr>
              <w:t>Own business audit independently</w:t>
            </w:r>
          </w:p>
        </w:tc>
      </w:tr>
      <w:tr>
        <w:trPr>
          <w:cantSplit/>
          <w:cantSplit/>
        </w:trPr>
        <w:tc>
          <w:tcPr>
            <w:tcW w:type="dxa" w:w="3600"/>
            <w:vAlign w:val="center"/>
            <w:tcMar>
              <w:top w:w="80" w:type="dxa"/>
              <w:bottom w:w="80" w:type="dxa"/>
              <w:left w:w="95" w:type="dxa"/>
              <w:right w:w="95" w:type="dxa"/>
            </w:tcMar>
          </w:tcPr>
          <w:p>
            <w:pPr>
              <w:spacing w:after="0" w:line="240" w:lineRule="auto"/>
            </w:pPr>
            <w:r>
              <w:rPr>
                <w:color w:val="15354F"/>
                <w:sz w:val="15"/>
              </w:rPr>
              <w:t>Business rules, extraction and transformations</w:t>
            </w:r>
          </w:p>
        </w:tc>
        <w:tc>
          <w:tcPr>
            <w:tcW w:type="dxa" w:w="2232"/>
            <w:vAlign w:val="center"/>
            <w:tcMar>
              <w:top w:w="80" w:type="dxa"/>
              <w:bottom w:w="80" w:type="dxa"/>
              <w:left w:w="95" w:type="dxa"/>
              <w:right w:w="95" w:type="dxa"/>
            </w:tcMar>
          </w:tcPr>
          <w:p>
            <w:pPr>
              <w:spacing w:after="0" w:line="240" w:lineRule="auto"/>
            </w:pPr>
            <w:r>
              <w:rPr>
                <w:color w:val="15354F"/>
                <w:sz w:val="15"/>
              </w:rPr>
              <w:t>None</w:t>
            </w:r>
          </w:p>
        </w:tc>
        <w:tc>
          <w:tcPr>
            <w:tcW w:type="dxa" w:w="3816"/>
            <w:vAlign w:val="center"/>
            <w:tcMar>
              <w:top w:w="80" w:type="dxa"/>
              <w:bottom w:w="80" w:type="dxa"/>
              <w:left w:w="95" w:type="dxa"/>
              <w:right w:w="95" w:type="dxa"/>
            </w:tcMar>
          </w:tcPr>
          <w:p>
            <w:pPr>
              <w:spacing w:after="0" w:line="240" w:lineRule="auto"/>
            </w:pPr>
            <w:r>
              <w:rPr>
                <w:color w:val="15354F"/>
                <w:sz w:val="15"/>
              </w:rPr>
              <w:t>Owns</w:t>
            </w:r>
          </w:p>
        </w:tc>
      </w:tr>
      <w:tr>
        <w:trPr>
          <w:cantSplit/>
          <w:cantSplit/>
        </w:trPr>
        <w:tc>
          <w:tcPr>
            <w:tcW w:type="dxa" w:w="3600"/>
            <w:vAlign w:val="center"/>
            <w:tcMar>
              <w:top w:w="80" w:type="dxa"/>
              <w:bottom w:w="80" w:type="dxa"/>
              <w:left w:w="95" w:type="dxa"/>
              <w:right w:w="95" w:type="dxa"/>
            </w:tcMar>
            <w:shd w:fill="F6F8FA"/>
          </w:tcPr>
          <w:p>
            <w:pPr>
              <w:spacing w:after="0" w:line="240" w:lineRule="auto"/>
            </w:pPr>
            <w:r>
              <w:rPr>
                <w:color w:val="15354F"/>
                <w:sz w:val="15"/>
              </w:rPr>
              <w:t>Domain approval and authorization decisions</w:t>
            </w:r>
          </w:p>
        </w:tc>
        <w:tc>
          <w:tcPr>
            <w:tcW w:type="dxa" w:w="2232"/>
            <w:vAlign w:val="center"/>
            <w:tcMar>
              <w:top w:w="80" w:type="dxa"/>
              <w:bottom w:w="80" w:type="dxa"/>
              <w:left w:w="95" w:type="dxa"/>
              <w:right w:w="95" w:type="dxa"/>
            </w:tcMar>
            <w:shd w:fill="F6F8FA"/>
          </w:tcPr>
          <w:p>
            <w:pPr>
              <w:spacing w:after="0" w:line="240" w:lineRule="auto"/>
            </w:pPr>
            <w:r>
              <w:rPr>
                <w:color w:val="15354F"/>
                <w:sz w:val="15"/>
              </w:rPr>
              <w:t>None</w:t>
            </w:r>
          </w:p>
        </w:tc>
        <w:tc>
          <w:tcPr>
            <w:tcW w:type="dxa" w:w="3816"/>
            <w:vAlign w:val="center"/>
            <w:tcMar>
              <w:top w:w="80" w:type="dxa"/>
              <w:bottom w:w="80" w:type="dxa"/>
              <w:left w:w="95" w:type="dxa"/>
              <w:right w:w="95" w:type="dxa"/>
            </w:tcMar>
            <w:shd w:fill="F6F8FA"/>
          </w:tcPr>
          <w:p>
            <w:pPr>
              <w:spacing w:after="0" w:line="240" w:lineRule="auto"/>
            </w:pPr>
            <w:r>
              <w:rPr>
                <w:color w:val="15354F"/>
                <w:sz w:val="15"/>
              </w:rPr>
              <w:t>Owns</w:t>
            </w:r>
          </w:p>
        </w:tc>
      </w:tr>
      <w:tr>
        <w:trPr>
          <w:cantSplit/>
          <w:cantSplit/>
        </w:trPr>
        <w:tc>
          <w:tcPr>
            <w:tcW w:type="dxa" w:w="3600"/>
            <w:vAlign w:val="center"/>
            <w:tcMar>
              <w:top w:w="80" w:type="dxa"/>
              <w:bottom w:w="80" w:type="dxa"/>
              <w:left w:w="95" w:type="dxa"/>
              <w:right w:w="95" w:type="dxa"/>
            </w:tcMar>
          </w:tcPr>
          <w:p>
            <w:pPr>
              <w:spacing w:after="0" w:line="240" w:lineRule="auto"/>
            </w:pPr>
            <w:r>
              <w:rPr>
                <w:color w:val="15354F"/>
                <w:sz w:val="15"/>
              </w:rPr>
              <w:t>Business transaction persistence/compensation</w:t>
            </w:r>
          </w:p>
        </w:tc>
        <w:tc>
          <w:tcPr>
            <w:tcW w:type="dxa" w:w="2232"/>
            <w:vAlign w:val="center"/>
            <w:tcMar>
              <w:top w:w="80" w:type="dxa"/>
              <w:bottom w:w="80" w:type="dxa"/>
              <w:left w:w="95" w:type="dxa"/>
              <w:right w:w="95" w:type="dxa"/>
            </w:tcMar>
          </w:tcPr>
          <w:p>
            <w:pPr>
              <w:spacing w:after="0" w:line="240" w:lineRule="auto"/>
            </w:pPr>
            <w:r>
              <w:rPr>
                <w:color w:val="15354F"/>
                <w:sz w:val="15"/>
              </w:rPr>
              <w:t>None</w:t>
            </w:r>
          </w:p>
        </w:tc>
        <w:tc>
          <w:tcPr>
            <w:tcW w:type="dxa" w:w="3816"/>
            <w:vAlign w:val="center"/>
            <w:tcMar>
              <w:top w:w="80" w:type="dxa"/>
              <w:bottom w:w="80" w:type="dxa"/>
              <w:left w:w="95" w:type="dxa"/>
              <w:right w:w="95" w:type="dxa"/>
            </w:tcMar>
          </w:tcPr>
          <w:p>
            <w:pPr>
              <w:spacing w:after="0" w:line="240" w:lineRule="auto"/>
            </w:pPr>
            <w:r>
              <w:rPr>
                <w:color w:val="15354F"/>
                <w:sz w:val="15"/>
              </w:rPr>
              <w:t>Owns</w:t>
            </w:r>
          </w:p>
        </w:tc>
      </w:tr>
      <w:tr>
        <w:trPr>
          <w:cantSplit/>
          <w:cantSplit/>
        </w:trPr>
        <w:tc>
          <w:tcPr>
            <w:tcW w:type="dxa" w:w="3600"/>
            <w:vAlign w:val="center"/>
            <w:tcMar>
              <w:top w:w="80" w:type="dxa"/>
              <w:bottom w:w="80" w:type="dxa"/>
              <w:left w:w="95" w:type="dxa"/>
              <w:right w:w="95" w:type="dxa"/>
            </w:tcMar>
            <w:shd w:fill="F6F8FA"/>
          </w:tcPr>
          <w:p>
            <w:pPr>
              <w:spacing w:after="0" w:line="240" w:lineRule="auto"/>
            </w:pPr>
            <w:r>
              <w:rPr>
                <w:color w:val="15354F"/>
                <w:sz w:val="15"/>
              </w:rPr>
              <w:t>Async business result and continuation</w:t>
            </w:r>
          </w:p>
        </w:tc>
        <w:tc>
          <w:tcPr>
            <w:tcW w:type="dxa" w:w="2232"/>
            <w:vAlign w:val="center"/>
            <w:tcMar>
              <w:top w:w="80" w:type="dxa"/>
              <w:bottom w:w="80" w:type="dxa"/>
              <w:left w:w="95" w:type="dxa"/>
              <w:right w:w="95" w:type="dxa"/>
            </w:tcMar>
            <w:shd w:fill="F6F8FA"/>
          </w:tcPr>
          <w:p>
            <w:pPr>
              <w:spacing w:after="0" w:line="240" w:lineRule="auto"/>
            </w:pPr>
            <w:r>
              <w:rPr>
                <w:color w:val="15354F"/>
                <w:sz w:val="15"/>
              </w:rPr>
              <w:t>Orchestrator receives technical event; Runtime executes new job</w:t>
            </w:r>
          </w:p>
        </w:tc>
        <w:tc>
          <w:tcPr>
            <w:tcW w:type="dxa" w:w="3816"/>
            <w:vAlign w:val="center"/>
            <w:tcMar>
              <w:top w:w="80" w:type="dxa"/>
              <w:bottom w:w="80" w:type="dxa"/>
              <w:left w:w="95" w:type="dxa"/>
              <w:right w:w="95" w:type="dxa"/>
            </w:tcMar>
            <w:shd w:fill="F6F8FA"/>
          </w:tcPr>
          <w:p>
            <w:pPr>
              <w:spacing w:after="0" w:line="240" w:lineRule="auto"/>
            </w:pPr>
            <w:r>
              <w:rPr>
                <w:color w:val="15354F"/>
                <w:sz w:val="15"/>
              </w:rPr>
              <w:t>Owns job and emits event</w:t>
            </w:r>
          </w:p>
        </w:tc>
      </w:tr>
    </w:tbl>
    <w:p>
      <w:pPr>
        <w:spacing w:after="0"/>
      </w:pPr>
    </w:p>
    <w:p>
      <w:pPr>
        <w:pStyle w:val="Heading2"/>
      </w:pPr>
      <w:r>
        <w:t>3.3 What the Runtime is allowed to decide</w:t>
      </w:r>
    </w:p>
    <w:tbl>
      <w:tblPr>
        <w:tblStyle w:val="TableGrid"/>
        <w:tblW w:type="auto" w:w="0"/>
        <w:jc w:val="center"/>
        <w:tblLayout w:type="fixed"/>
        <w:tblLook w:firstColumn="1" w:firstRow="1" w:lastColumn="0" w:lastRow="0" w:noHBand="0" w:noVBand="1" w:val="04A0"/>
      </w:tblPr>
      <w:tblGrid>
        <w:gridCol w:w="4608"/>
        <w:gridCol w:w="1944"/>
        <w:gridCol w:w="3096"/>
      </w:tblGrid>
      <w:tr>
        <w:trPr>
          <w:tblHeader w:val="true"/>
          <w:tblHeader w:val="true"/>
          <w:cantSplit/>
        </w:trPr>
        <w:tc>
          <w:tcPr>
            <w:tcW w:type="dxa" w:w="3360"/>
            <w:shd w:fill="15354F"/>
            <w:tcMar>
              <w:top w:w="80" w:type="dxa"/>
              <w:bottom w:w="80" w:type="dxa"/>
              <w:left w:w="95" w:type="dxa"/>
              <w:right w:w="95" w:type="dxa"/>
            </w:tcMar>
          </w:tcPr>
          <w:p>
            <w:r>
              <w:rPr>
                <w:b/>
                <w:color w:val="FFFFFF"/>
                <w:sz w:val="16"/>
              </w:rPr>
              <w:t>Example condition</w:t>
            </w:r>
          </w:p>
        </w:tc>
        <w:tc>
          <w:tcPr>
            <w:tcW w:type="dxa" w:w="3360"/>
            <w:shd w:fill="15354F"/>
            <w:tcMar>
              <w:top w:w="80" w:type="dxa"/>
              <w:bottom w:w="80" w:type="dxa"/>
              <w:left w:w="95" w:type="dxa"/>
              <w:right w:w="95" w:type="dxa"/>
            </w:tcMar>
          </w:tcPr>
          <w:p>
            <w:r>
              <w:rPr>
                <w:b/>
                <w:color w:val="FFFFFF"/>
                <w:sz w:val="16"/>
              </w:rPr>
              <w:t>Correct owner</w:t>
            </w:r>
          </w:p>
        </w:tc>
        <w:tc>
          <w:tcPr>
            <w:tcW w:type="dxa" w:w="3360"/>
            <w:shd w:fill="15354F"/>
            <w:tcMar>
              <w:top w:w="80" w:type="dxa"/>
              <w:bottom w:w="80" w:type="dxa"/>
              <w:left w:w="95" w:type="dxa"/>
              <w:right w:w="95" w:type="dxa"/>
            </w:tcMar>
          </w:tcPr>
          <w:p>
            <w:r>
              <w:rPr>
                <w:b/>
                <w:color w:val="FFFFFF"/>
                <w:sz w:val="16"/>
              </w:rPr>
              <w:t>Why</w:t>
            </w:r>
          </w:p>
        </w:tc>
      </w:tr>
      <w:tr>
        <w:trPr>
          <w:cantSplit/>
          <w:cantSplit/>
        </w:trPr>
        <w:tc>
          <w:tcPr>
            <w:tcW w:type="dxa" w:w="4608"/>
            <w:vAlign w:val="center"/>
            <w:tcMar>
              <w:top w:w="80" w:type="dxa"/>
              <w:bottom w:w="80" w:type="dxa"/>
              <w:left w:w="95" w:type="dxa"/>
              <w:right w:w="95" w:type="dxa"/>
            </w:tcMar>
          </w:tcPr>
          <w:p>
            <w:pPr>
              <w:spacing w:after="0" w:line="240" w:lineRule="auto"/>
            </w:pPr>
            <w:r>
              <w:rPr>
                <w:color w:val="15354F"/>
                <w:sz w:val="15"/>
              </w:rPr>
              <w:t>Wait for a dialog or a button to become enabled</w:t>
            </w:r>
          </w:p>
        </w:tc>
        <w:tc>
          <w:tcPr>
            <w:tcW w:type="dxa" w:w="1944"/>
            <w:vAlign w:val="center"/>
            <w:tcMar>
              <w:top w:w="80" w:type="dxa"/>
              <w:bottom w:w="80" w:type="dxa"/>
              <w:left w:w="95" w:type="dxa"/>
              <w:right w:w="95" w:type="dxa"/>
            </w:tcMar>
          </w:tcPr>
          <w:p>
            <w:pPr>
              <w:spacing w:after="0" w:line="240" w:lineRule="auto"/>
            </w:pPr>
            <w:r>
              <w:rPr>
                <w:color w:val="15354F"/>
                <w:sz w:val="15"/>
              </w:rPr>
              <w:t>Runtime</w:t>
            </w:r>
          </w:p>
        </w:tc>
        <w:tc>
          <w:tcPr>
            <w:tcW w:type="dxa" w:w="3096"/>
            <w:vAlign w:val="center"/>
            <w:tcMar>
              <w:top w:w="80" w:type="dxa"/>
              <w:bottom w:w="80" w:type="dxa"/>
              <w:left w:w="95" w:type="dxa"/>
              <w:right w:w="95" w:type="dxa"/>
            </w:tcMar>
          </w:tcPr>
          <w:p>
            <w:pPr>
              <w:spacing w:after="0" w:line="240" w:lineRule="auto"/>
            </w:pPr>
            <w:r>
              <w:rPr>
                <w:color w:val="15354F"/>
                <w:sz w:val="15"/>
              </w:rPr>
              <w:t>Execution readiness.</w:t>
            </w:r>
          </w:p>
        </w:tc>
      </w:tr>
      <w:tr>
        <w:trPr>
          <w:cantSplit/>
          <w:cantSplit/>
        </w:trPr>
        <w:tc>
          <w:tcPr>
            <w:tcW w:type="dxa" w:w="4608"/>
            <w:vAlign w:val="center"/>
            <w:tcMar>
              <w:top w:w="80" w:type="dxa"/>
              <w:bottom w:w="80" w:type="dxa"/>
              <w:left w:w="95" w:type="dxa"/>
              <w:right w:w="95" w:type="dxa"/>
            </w:tcMar>
            <w:shd w:fill="F6F8FA"/>
          </w:tcPr>
          <w:p>
            <w:pPr>
              <w:spacing w:after="0" w:line="240" w:lineRule="auto"/>
            </w:pPr>
            <w:r>
              <w:rPr>
                <w:color w:val="15354F"/>
                <w:sz w:val="15"/>
              </w:rPr>
              <w:t>Re-find an element after a page redraw</w:t>
            </w:r>
          </w:p>
        </w:tc>
        <w:tc>
          <w:tcPr>
            <w:tcW w:type="dxa" w:w="1944"/>
            <w:vAlign w:val="center"/>
            <w:tcMar>
              <w:top w:w="80" w:type="dxa"/>
              <w:bottom w:w="80" w:type="dxa"/>
              <w:left w:w="95" w:type="dxa"/>
              <w:right w:w="95" w:type="dxa"/>
            </w:tcMar>
            <w:shd w:fill="F6F8FA"/>
          </w:tcPr>
          <w:p>
            <w:pPr>
              <w:spacing w:after="0" w:line="240" w:lineRule="auto"/>
            </w:pPr>
            <w:r>
              <w:rPr>
                <w:color w:val="15354F"/>
                <w:sz w:val="15"/>
              </w:rPr>
              <w:t>Runtime</w:t>
            </w:r>
          </w:p>
        </w:tc>
        <w:tc>
          <w:tcPr>
            <w:tcW w:type="dxa" w:w="3096"/>
            <w:vAlign w:val="center"/>
            <w:tcMar>
              <w:top w:w="80" w:type="dxa"/>
              <w:bottom w:w="80" w:type="dxa"/>
              <w:left w:w="95" w:type="dxa"/>
              <w:right w:w="95" w:type="dxa"/>
            </w:tcMar>
            <w:shd w:fill="F6F8FA"/>
          </w:tcPr>
          <w:p>
            <w:pPr>
              <w:spacing w:after="0" w:line="240" w:lineRule="auto"/>
            </w:pPr>
            <w:r>
              <w:rPr>
                <w:color w:val="15354F"/>
                <w:sz w:val="15"/>
              </w:rPr>
              <w:t>Technical recovery.</w:t>
            </w:r>
          </w:p>
        </w:tc>
      </w:tr>
      <w:tr>
        <w:trPr>
          <w:cantSplit/>
          <w:cantSplit/>
        </w:trPr>
        <w:tc>
          <w:tcPr>
            <w:tcW w:type="dxa" w:w="4608"/>
            <w:vAlign w:val="center"/>
            <w:tcMar>
              <w:top w:w="80" w:type="dxa"/>
              <w:bottom w:w="80" w:type="dxa"/>
              <w:left w:w="95" w:type="dxa"/>
              <w:right w:w="95" w:type="dxa"/>
            </w:tcMar>
          </w:tcPr>
          <w:p>
            <w:pPr>
              <w:spacing w:after="0" w:line="240" w:lineRule="auto"/>
            </w:pPr>
            <w:r>
              <w:rPr>
                <w:color w:val="15354F"/>
                <w:sz w:val="15"/>
              </w:rPr>
              <w:t>Click Submit after receiving an approved API result</w:t>
            </w:r>
          </w:p>
        </w:tc>
        <w:tc>
          <w:tcPr>
            <w:tcW w:type="dxa" w:w="1944"/>
            <w:vAlign w:val="center"/>
            <w:tcMar>
              <w:top w:w="80" w:type="dxa"/>
              <w:bottom w:w="80" w:type="dxa"/>
              <w:left w:w="95" w:type="dxa"/>
              <w:right w:w="95" w:type="dxa"/>
            </w:tcMar>
          </w:tcPr>
          <w:p>
            <w:pPr>
              <w:spacing w:after="0" w:line="240" w:lineRule="auto"/>
            </w:pPr>
            <w:r>
              <w:rPr>
                <w:color w:val="15354F"/>
                <w:sz w:val="15"/>
              </w:rPr>
              <w:t>Runtime</w:t>
            </w:r>
          </w:p>
        </w:tc>
        <w:tc>
          <w:tcPr>
            <w:tcW w:type="dxa" w:w="3096"/>
            <w:vAlign w:val="center"/>
            <w:tcMar>
              <w:top w:w="80" w:type="dxa"/>
              <w:bottom w:w="80" w:type="dxa"/>
              <w:left w:w="95" w:type="dxa"/>
              <w:right w:w="95" w:type="dxa"/>
            </w:tcMar>
          </w:tcPr>
          <w:p>
            <w:pPr>
              <w:spacing w:after="0" w:line="240" w:lineRule="auto"/>
            </w:pPr>
            <w:r>
              <w:rPr>
                <w:color w:val="15354F"/>
                <w:sz w:val="15"/>
              </w:rPr>
              <w:t>Performs a previously authorized interaction.</w:t>
            </w:r>
          </w:p>
        </w:tc>
      </w:tr>
      <w:tr>
        <w:trPr>
          <w:cantSplit/>
          <w:cantSplit/>
        </w:trPr>
        <w:tc>
          <w:tcPr>
            <w:tcW w:type="dxa" w:w="4608"/>
            <w:vAlign w:val="center"/>
            <w:tcMar>
              <w:top w:w="80" w:type="dxa"/>
              <w:bottom w:w="80" w:type="dxa"/>
              <w:left w:w="95" w:type="dxa"/>
              <w:right w:w="95" w:type="dxa"/>
            </w:tcMar>
            <w:shd w:fill="F6F8FA"/>
          </w:tcPr>
          <w:p>
            <w:pPr>
              <w:spacing w:after="0" w:line="240" w:lineRule="auto"/>
            </w:pPr>
            <w:r>
              <w:rPr>
                <w:color w:val="15354F"/>
                <w:sz w:val="15"/>
              </w:rPr>
              <w:t>Determine whether an invoice meets payment rules</w:t>
            </w:r>
          </w:p>
        </w:tc>
        <w:tc>
          <w:tcPr>
            <w:tcW w:type="dxa" w:w="1944"/>
            <w:vAlign w:val="center"/>
            <w:tcMar>
              <w:top w:w="80" w:type="dxa"/>
              <w:bottom w:w="80" w:type="dxa"/>
              <w:left w:w="95" w:type="dxa"/>
              <w:right w:w="95" w:type="dxa"/>
            </w:tcMar>
            <w:shd w:fill="F6F8FA"/>
          </w:tcPr>
          <w:p>
            <w:pPr>
              <w:spacing w:after="0" w:line="240" w:lineRule="auto"/>
            </w:pPr>
            <w:r>
              <w:rPr>
                <w:color w:val="15354F"/>
                <w:sz w:val="15"/>
              </w:rPr>
              <w:t>External service</w:t>
            </w:r>
          </w:p>
        </w:tc>
        <w:tc>
          <w:tcPr>
            <w:tcW w:type="dxa" w:w="3096"/>
            <w:vAlign w:val="center"/>
            <w:tcMar>
              <w:top w:w="80" w:type="dxa"/>
              <w:bottom w:w="80" w:type="dxa"/>
              <w:left w:w="95" w:type="dxa"/>
              <w:right w:w="95" w:type="dxa"/>
            </w:tcMar>
            <w:shd w:fill="F6F8FA"/>
          </w:tcPr>
          <w:p>
            <w:pPr>
              <w:spacing w:after="0" w:line="240" w:lineRule="auto"/>
            </w:pPr>
            <w:r>
              <w:rPr>
                <w:color w:val="15354F"/>
                <w:sz w:val="15"/>
              </w:rPr>
              <w:t>Domain decision.</w:t>
            </w:r>
          </w:p>
        </w:tc>
      </w:tr>
      <w:tr>
        <w:trPr>
          <w:cantSplit/>
          <w:cantSplit/>
        </w:trPr>
        <w:tc>
          <w:tcPr>
            <w:tcW w:type="dxa" w:w="4608"/>
            <w:vAlign w:val="center"/>
            <w:tcMar>
              <w:top w:w="80" w:type="dxa"/>
              <w:bottom w:w="80" w:type="dxa"/>
              <w:left w:w="95" w:type="dxa"/>
              <w:right w:w="95" w:type="dxa"/>
            </w:tcMar>
          </w:tcPr>
          <w:p>
            <w:pPr>
              <w:spacing w:after="0" w:line="240" w:lineRule="auto"/>
            </w:pPr>
            <w:r>
              <w:rPr>
                <w:color w:val="15354F"/>
                <w:sz w:val="15"/>
              </w:rPr>
              <w:t>Compute an amount, tax, SLA or discrepancy</w:t>
            </w:r>
          </w:p>
        </w:tc>
        <w:tc>
          <w:tcPr>
            <w:tcW w:type="dxa" w:w="1944"/>
            <w:vAlign w:val="center"/>
            <w:tcMar>
              <w:top w:w="80" w:type="dxa"/>
              <w:bottom w:w="80" w:type="dxa"/>
              <w:left w:w="95" w:type="dxa"/>
              <w:right w:w="95" w:type="dxa"/>
            </w:tcMar>
          </w:tcPr>
          <w:p>
            <w:pPr>
              <w:spacing w:after="0" w:line="240" w:lineRule="auto"/>
            </w:pPr>
            <w:r>
              <w:rPr>
                <w:color w:val="15354F"/>
                <w:sz w:val="15"/>
              </w:rPr>
              <w:t>External service</w:t>
            </w:r>
          </w:p>
        </w:tc>
        <w:tc>
          <w:tcPr>
            <w:tcW w:type="dxa" w:w="3096"/>
            <w:vAlign w:val="center"/>
            <w:tcMar>
              <w:top w:w="80" w:type="dxa"/>
              <w:bottom w:w="80" w:type="dxa"/>
              <w:left w:w="95" w:type="dxa"/>
              <w:right w:w="95" w:type="dxa"/>
            </w:tcMar>
          </w:tcPr>
          <w:p>
            <w:pPr>
              <w:spacing w:after="0" w:line="240" w:lineRule="auto"/>
            </w:pPr>
            <w:r>
              <w:rPr>
                <w:color w:val="15354F"/>
                <w:sz w:val="15"/>
              </w:rPr>
              <w:t>Domain computation.</w:t>
            </w:r>
          </w:p>
        </w:tc>
      </w:tr>
      <w:tr>
        <w:trPr>
          <w:cantSplit/>
          <w:cantSplit/>
        </w:trPr>
        <w:tc>
          <w:tcPr>
            <w:tcW w:type="dxa" w:w="4608"/>
            <w:vAlign w:val="center"/>
            <w:tcMar>
              <w:top w:w="80" w:type="dxa"/>
              <w:bottom w:w="80" w:type="dxa"/>
              <w:left w:w="95" w:type="dxa"/>
              <w:right w:w="95" w:type="dxa"/>
            </w:tcMar>
            <w:shd w:fill="F6F8FA"/>
          </w:tcPr>
          <w:p>
            <w:pPr>
              <w:spacing w:after="0" w:line="240" w:lineRule="auto"/>
            </w:pPr>
            <w:r>
              <w:rPr>
                <w:color w:val="15354F"/>
                <w:sz w:val="15"/>
              </w:rPr>
              <w:t>Decide the recipient of an approval</w:t>
            </w:r>
          </w:p>
        </w:tc>
        <w:tc>
          <w:tcPr>
            <w:tcW w:type="dxa" w:w="1944"/>
            <w:vAlign w:val="center"/>
            <w:tcMar>
              <w:top w:w="80" w:type="dxa"/>
              <w:bottom w:w="80" w:type="dxa"/>
              <w:left w:w="95" w:type="dxa"/>
              <w:right w:w="95" w:type="dxa"/>
            </w:tcMar>
            <w:shd w:fill="F6F8FA"/>
          </w:tcPr>
          <w:p>
            <w:pPr>
              <w:spacing w:after="0" w:line="240" w:lineRule="auto"/>
            </w:pPr>
            <w:r>
              <w:rPr>
                <w:color w:val="15354F"/>
                <w:sz w:val="15"/>
              </w:rPr>
              <w:t>External service</w:t>
            </w:r>
          </w:p>
        </w:tc>
        <w:tc>
          <w:tcPr>
            <w:tcW w:type="dxa" w:w="3096"/>
            <w:vAlign w:val="center"/>
            <w:tcMar>
              <w:top w:w="80" w:type="dxa"/>
              <w:bottom w:w="80" w:type="dxa"/>
              <w:left w:w="95" w:type="dxa"/>
              <w:right w:w="95" w:type="dxa"/>
            </w:tcMar>
            <w:shd w:fill="F6F8FA"/>
          </w:tcPr>
          <w:p>
            <w:pPr>
              <w:spacing w:after="0" w:line="240" w:lineRule="auto"/>
            </w:pPr>
            <w:r>
              <w:rPr>
                <w:color w:val="15354F"/>
                <w:sz w:val="15"/>
              </w:rPr>
              <w:t>Business authorization.</w:t>
            </w:r>
          </w:p>
        </w:tc>
      </w:tr>
      <w:tr>
        <w:trPr>
          <w:cantSplit/>
          <w:cantSplit/>
        </w:trPr>
        <w:tc>
          <w:tcPr>
            <w:tcW w:type="dxa" w:w="4608"/>
            <w:vAlign w:val="center"/>
            <w:tcMar>
              <w:top w:w="80" w:type="dxa"/>
              <w:bottom w:w="80" w:type="dxa"/>
              <w:left w:w="95" w:type="dxa"/>
              <w:right w:w="95" w:type="dxa"/>
            </w:tcMar>
          </w:tcPr>
          <w:p>
            <w:pPr>
              <w:spacing w:after="0" w:line="240" w:lineRule="auto"/>
            </w:pPr>
            <w:r>
              <w:rPr>
                <w:color w:val="15354F"/>
                <w:sz w:val="15"/>
              </w:rPr>
              <w:t>Handle a service business rejection by entering its returned status in ERP</w:t>
            </w:r>
          </w:p>
        </w:tc>
        <w:tc>
          <w:tcPr>
            <w:tcW w:type="dxa" w:w="1944"/>
            <w:vAlign w:val="center"/>
            <w:tcMar>
              <w:top w:w="80" w:type="dxa"/>
              <w:bottom w:w="80" w:type="dxa"/>
              <w:left w:w="95" w:type="dxa"/>
              <w:right w:w="95" w:type="dxa"/>
            </w:tcMar>
          </w:tcPr>
          <w:p>
            <w:pPr>
              <w:spacing w:after="0" w:line="240" w:lineRule="auto"/>
            </w:pPr>
            <w:r>
              <w:rPr>
                <w:color w:val="15354F"/>
                <w:sz w:val="15"/>
              </w:rPr>
              <w:t>Runtime maps result only</w:t>
            </w:r>
          </w:p>
        </w:tc>
        <w:tc>
          <w:tcPr>
            <w:tcW w:type="dxa" w:w="3096"/>
            <w:vAlign w:val="center"/>
            <w:tcMar>
              <w:top w:w="80" w:type="dxa"/>
              <w:bottom w:w="80" w:type="dxa"/>
              <w:left w:w="95" w:type="dxa"/>
              <w:right w:w="95" w:type="dxa"/>
            </w:tcMar>
          </w:tcPr>
          <w:p>
            <w:pPr>
              <w:spacing w:after="0" w:line="240" w:lineRule="auto"/>
            </w:pPr>
            <w:r>
              <w:rPr>
                <w:color w:val="15354F"/>
                <w:sz w:val="15"/>
              </w:rPr>
              <w:t>Business decision remains service-owned.</w:t>
            </w:r>
          </w:p>
        </w:tc>
      </w:tr>
    </w:tbl>
    <w:p>
      <w:pPr>
        <w:spacing w:after="0"/>
      </w:pPr>
    </w:p>
    <w:p>
      <w:pPr>
        <w:pStyle w:val="Heading1"/>
      </w:pPr>
      <w:r>
        <w:t>4. Designer and recorder</w:t>
      </w:r>
    </w:p>
    <w:p>
      <w:pPr>
        <w:pStyle w:val="Heading2"/>
      </w:pPr>
      <w:r>
        <w:t>4.1 Scope and workflow</w:t>
      </w:r>
    </w:p>
    <w:p>
      <w:pPr>
        <w:spacing w:after="80"/>
        <w:ind w:left="374" w:hanging="331"/>
      </w:pPr>
      <w:r>
        <w:t>1.  Choose Desktop, Browser or Terminal and begin an authorized recording session.</w:t>
      </w:r>
    </w:p>
    <w:p>
      <w:pPr>
        <w:spacing w:after="80"/>
        <w:ind w:left="374" w:hanging="331"/>
      </w:pPr>
      <w:r>
        <w:t>2.  Capture time-ordered user actions, application/window identity, available selectors and screen evidence; optionally record narration with timestamp-aligned transcripts.</w:t>
      </w:r>
    </w:p>
    <w:p>
      <w:pPr>
        <w:spacing w:after="80"/>
        <w:ind w:left="374" w:hanging="331"/>
      </w:pPr>
      <w:r>
        <w:t>3.  Normalize demonstration events; call an external AI authoring integration if configured.</w:t>
      </w:r>
    </w:p>
    <w:p>
      <w:pPr>
        <w:spacing w:after="80"/>
        <w:ind w:left="374" w:hanging="331"/>
      </w:pPr>
      <w:r>
        <w:t>4.  Generate a readable, editable step sequence, selector definitions, technical pre/postconditions and flowchart.</w:t>
      </w:r>
    </w:p>
    <w:p>
      <w:pPr>
        <w:spacing w:after="80"/>
        <w:ind w:left="374" w:hanging="331"/>
      </w:pPr>
      <w:r>
        <w:t>5.  Permit human corrections at any stage; validate script semantics and supported runtime capability.</w:t>
      </w:r>
    </w:p>
    <w:p>
      <w:pPr>
        <w:spacing w:after="80"/>
        <w:ind w:left="374" w:hanging="331"/>
      </w:pPr>
      <w:r>
        <w:t>6.  Test with a versioned Runtime; approve and publish immutable automation artifacts.</w:t>
      </w:r>
    </w:p>
    <w:p>
      <w:pPr>
        <w:pStyle w:val="Heading2"/>
      </w:pPr>
      <w:r>
        <w:t>4.2 Capture and targeting rules</w:t>
      </w:r>
    </w:p>
    <w:p>
      <w:r>
        <w:t>For Desktop v1, Windows UI Automation is the preferred element discovery path; Java Access Bridge is supported for eligible Java applications. Keyboard navigation may be used as a fallback. Coordinates are permitted only when defined relative to an element first found using UI Automation. No OCR targeting, image-recognition targeting or arbitrary absolute-screen clicking is provided in v1. Screenshot capture is allowed for recording review and diagnostics, not for locating UI targets.</w:t>
      </w:r>
    </w:p>
    <w:p>
      <w:r>
        <w:t>Playwright for .NET is the browser recording and execution foundation; it is not a generic Windows desktop recorder. Terminal recording requires its own approved command/session capture adapter. Application framework coverage is tested, and unsupported targets are published in a known limitations guideline rather than silently guessed.</w:t>
      </w:r>
    </w:p>
    <w:p>
      <w:pPr>
        <w:pStyle w:val="Heading2"/>
      </w:pPr>
      <w:r>
        <w:t>4.3 AI usage boundary</w:t>
      </w:r>
    </w:p>
    <w:p>
      <w:r>
        <w:t>Claude Code, Codex, LLM APIs or MCP-compatible tools are authoring integrations, not Tracto implementation languages. Tracto itself remains .NET. Recording/transcript data sent to external AI services must respect enterprise privacy controls. The authoritative deliverable is the reviewed script artifact, not a chat session or generated Markdown alone. Production execution works without the AI authoring provider.</w:t>
      </w:r>
    </w:p>
    <w:p>
      <w:pPr>
        <w:pStyle w:val="Heading1"/>
      </w:pPr>
      <w:r>
        <w:t>5. Execution Runtime: one logical component, three independent .NET applications</w:t>
      </w:r>
    </w:p>
    <w:p>
      <w:r>
        <w:t>Each Runtime application is implemented in .NET and can be developed, tested, packaged and released independently. The Desktop application requires an authorized Windows interactive session; Browser may be headed or headless; Terminal may operate without an interactive GUI. v1 worker targets are governed by the certified Windows deployment baseline. Every Runtime validates approved artifacts, executes technical actions, resolves only its authorized secret references, calls external business APIs and returns structured results. No Runtime contains business-processing rules.</w:t>
      </w:r>
    </w:p>
    <w:p>
      <w:pPr>
        <w:pStyle w:val="Heading2"/>
      </w:pPr>
      <w:r>
        <w:t>5.1 Runtime process model</w:t>
      </w:r>
    </w:p>
    <w:p>
      <w:r>
        <w:t>In isolated mode a Windows Runtime Host Supervisor is installed at most once per bot host and operates as a background process under the bot user. It supervises WSL/Docker/Orchestrator lifecycle and host recovery. Independently installed Runtime workers are separate processes. The Desktop interactive Executor runs in the authorized desktop session and owns outbound job pull/lease/heartbeat for Desktop jobs; headless Browser and Terminal workers may run in authorized noninteractive contexts. The Supervisor and interactive executor communicate via an authenticated local mechanism (named pipes are the preferred .NET candidate). This host facility remains within the Runtime family and does not create a fourth Tracto component.</w:t>
      </w:r>
    </w:p>
    <w:p>
      <w:pPr>
        <w:pStyle w:val="Heading2"/>
      </w:pPr>
      <w:r>
        <w:t>5.2 Desktop engine</w:t>
      </w:r>
    </w:p>
    <w:p>
      <w:pPr>
        <w:pStyle w:val="ListBullet"/>
      </w:pPr>
      <w:r>
        <w:t>Runs alongside the target app inside the same supported Windows interactive desktop session (including an in-session VDI worker).</w:t>
      </w:r>
    </w:p>
    <w:p>
      <w:pPr>
        <w:pStyle w:val="ListBullet"/>
      </w:pPr>
      <w:r>
        <w:t>Uses Windows UI Automation first; Java Access Bridge where available; keyboard fallback; bounded control-relative coordinates only.</w:t>
      </w:r>
    </w:p>
    <w:p>
      <w:pPr>
        <w:pStyle w:val="ListBullet"/>
      </w:pPr>
      <w:r>
        <w:t>Actions include launch/attach, focus/window management, clicks, typing, scroll, keyboard shortcuts, copy/paste, file dialogs and supported control patterns.</w:t>
      </w:r>
    </w:p>
    <w:p>
      <w:pPr>
        <w:pStyle w:val="ListBullet"/>
      </w:pPr>
      <w:r>
        <w:t>Handles timeouts, selectors, focus checks, modal dialogs, locked sessions, application crashes, cancellation, state assertions and failure evidence.</w:t>
      </w:r>
    </w:p>
    <w:p>
      <w:pPr>
        <w:pStyle w:val="ListBullet"/>
      </w:pPr>
      <w:r>
        <w:t>Fixed display resolution and DPI and a single monitor form the certified v1 baseline.</w:t>
      </w:r>
    </w:p>
    <w:p>
      <w:pPr>
        <w:pStyle w:val="ListBullet"/>
      </w:pPr>
      <w:r>
        <w:t>No OCR/image-based element finding, pixel-only Citrix/remote automation, UAC bypass or unsupported protected desktop operations.</w:t>
      </w:r>
    </w:p>
    <w:p>
      <w:pPr>
        <w:pStyle w:val="Heading2"/>
      </w:pPr>
      <w:r>
        <w:t>5.3 Browser engine</w:t>
      </w:r>
    </w:p>
    <w:p>
      <w:r>
        <w:t>An independently packaged .NET Browser worker using Playwright for .NET; the certified v1 deployment profile is Windows. It handles navigation, DOM/accessibility selectors, tabs/frames, dialogs, downloads/uploads, browser contexts and assertions. Headed execution consumes an exclusive interactive desktop session; headless execution does not require one. It conforms to common envelopes and Orchestrator contracts, but owns browser-specific action definitions.</w:t>
      </w:r>
    </w:p>
    <w:p>
      <w:pPr>
        <w:pStyle w:val="Heading2"/>
      </w:pPr>
      <w:r>
        <w:t>5.4 Terminal engine</w:t>
      </w:r>
    </w:p>
    <w:p>
      <w:r>
        <w:t>An independently packaged .NET Terminal worker supporting policy-approved CMD and PowerShell operations and Bash through supported WSL/remote contexts. It captures stdin/stdout/stderr, process status, exit codes, timeouts and cancellation. It does not require an interactive desktop. Terminal action definitions and targeting remain independent; execution envelopes and security behavior remain common.</w:t>
      </w:r>
    </w:p>
    <w:p>
      <w:pPr>
        <w:pStyle w:val="Heading2"/>
      </w:pPr>
      <w:r>
        <w:t>5.5 Common execution lifecycle</w:t>
      </w:r>
    </w:p>
    <w:p>
      <w:pPr>
        <w:spacing w:after="80"/>
        <w:ind w:left="374" w:hanging="331"/>
      </w:pPr>
      <w:r>
        <w:t>1.  Receive a leased job from the Orchestrator over a Runtime-initiated outbound connection.</w:t>
      </w:r>
    </w:p>
    <w:p>
      <w:pPr>
        <w:spacing w:after="80"/>
        <w:ind w:left="374" w:hanging="331"/>
      </w:pPr>
      <w:r>
        <w:t>2.  Validate script schema (current or immediately previous major), immutable artifact version, input types, policy, worker capability and target identity.</w:t>
      </w:r>
    </w:p>
    <w:p>
      <w:pPr>
        <w:spacing w:after="80"/>
        <w:ind w:left="374" w:hanging="331"/>
      </w:pPr>
      <w:r>
        <w:t>3.  Acquire a bot-worker job slot and, for Desktop, verify ownership of an interactive session and correct display configuration.</w:t>
      </w:r>
    </w:p>
    <w:p>
      <w:pPr>
        <w:spacing w:after="80"/>
        <w:ind w:left="374" w:hanging="331"/>
      </w:pPr>
      <w:r>
        <w:t>4.  Execute technical actions with bounded waits, preconditions, postconditions and idempotency-aware retries.</w:t>
      </w:r>
    </w:p>
    <w:p>
      <w:pPr>
        <w:spacing w:after="80"/>
        <w:ind w:left="374" w:hanging="331"/>
      </w:pPr>
      <w:r>
        <w:t>5.  Resolve `secretRef` only on the Windows side when an authorized action requires it; invoke a business API directly if specified.</w:t>
      </w:r>
    </w:p>
    <w:p>
      <w:pPr>
        <w:spacing w:after="80"/>
        <w:ind w:left="374" w:hanging="331"/>
      </w:pPr>
      <w:r>
        <w:t>6.  Complete synchronously, or record an asynchronous handoff and release the worker for a subsequent separate run.</w:t>
      </w:r>
    </w:p>
    <w:p>
      <w:pPr>
        <w:spacing w:after="80"/>
        <w:ind w:left="374" w:hanging="331"/>
      </w:pPr>
      <w:r>
        <w:t>7.  Persist enough local execution progress to support status reconciliation; emit structured telemetry and release resources.</w:t>
      </w:r>
    </w:p>
    <w:p>
      <w:pPr>
        <w:pStyle w:val="Heading2"/>
      </w:pPr>
      <w:r>
        <w:t>5.6 Concurrency model</w:t>
      </w:r>
    </w:p>
    <w:p>
      <w:r>
        <w:t>v1 permits one active job per independently registered bot worker, not one job for the entire physical host. Desktop and any headed Browser worker must additionally honor one exclusive foreground-input owner per Windows interactive desktop session. Headless Browser and Terminal workers can run alongside interactive workers where host capacity and isolation permit. Host supervisor/Orchestrator services are installed once per isolated host. Multi-job scheduling within a single worker is deferred.</w:t>
      </w:r>
    </w:p>
    <w:p>
      <w:pPr>
        <w:pStyle w:val="Heading1"/>
      </w:pPr>
      <w:r>
        <w:t>6. Orchestrator: Linux-container control plane</w:t>
      </w:r>
    </w:p>
    <w:p>
      <w:r>
        <w:t>The Orchestrator is a .NET service packaged as a Linux container. Connected mode hosts it centrally on customer-controlled Docker or Kubernetes; isolated mode hosts the same container on the local Windows machine using Docker Engine inside WSL2. No separate Windows-hosted Orchestrator artifact is planned for v1.</w:t>
      </w:r>
    </w:p>
    <w:p>
      <w:pPr>
        <w:pStyle w:val="Heading2"/>
      </w:pPr>
      <w:r>
        <w:t>6.1 Responsibilities</w:t>
      </w:r>
    </w:p>
    <w:p>
      <w:pPr>
        <w:pStyle w:val="ListBullet"/>
      </w:pPr>
      <w:r>
        <w:t>Registers automation definitions, versions and worker capabilities; manages schedules and manual/event triggers.</w:t>
      </w:r>
    </w:p>
    <w:p>
      <w:pPr>
        <w:pStyle w:val="ListBullet"/>
      </w:pPr>
      <w:r>
        <w:t>Queues jobs, offers leases on worker pull, receives accept/heartbeat/progress/complete messages, and enforces one active job per worker.</w:t>
      </w:r>
    </w:p>
    <w:p>
      <w:pPr>
        <w:pStyle w:val="ListBullet"/>
      </w:pPr>
      <w:r>
        <w:t>Manages run state, attempt IDs, cancellation requests, status history, evidence references and limited technical retries.</w:t>
      </w:r>
    </w:p>
    <w:p>
      <w:pPr>
        <w:pStyle w:val="ListBullet"/>
      </w:pPr>
      <w:r>
        <w:t>Receives authenticated asynchronous service callbacks/events; validates, deduplicates and starts a separate continuation run.</w:t>
      </w:r>
    </w:p>
    <w:p>
      <w:pPr>
        <w:pStyle w:val="ListBullet"/>
      </w:pPr>
      <w:r>
        <w:t>Maintains correlation between run IDs and business-job IDs but never becomes the system of record for business jobs.</w:t>
      </w:r>
    </w:p>
    <w:p>
      <w:pPr>
        <w:pStyle w:val="ListBullet"/>
      </w:pPr>
      <w:r>
        <w:t>Maintains queue/backpressure, durable execution metadata and replay safeguards; no business rule execution or compensation.</w:t>
      </w:r>
    </w:p>
    <w:p>
      <w:pPr>
        <w:pStyle w:val="Heading2"/>
      </w:pPr>
      <w:r>
        <w:t>6.2 Communication contract: outbound pull</w:t>
      </w:r>
    </w:p>
    <w:p>
      <w:r>
        <w:t>Each independent Runtime worker initiates outbound communication to the common Orchestrator and requests work. The Orchestrator assigns a bounded lease using runId and attemptId; the worker reports heartbeats and results. No inbound listener on a worker is needed for routine dispatch. Connected network and isolated localhost deployment use the same logical protocol. Worker-specific execution details remain outside this protocol.</w:t>
      </w:r>
    </w:p>
    <w:p>
      <w:r>
        <w:t>Lease expiry does not prove that a GUI action failed. A stale lease is not permission to replay an action: the Orchestrator first reconciles with the worker journal, and marks the outcome UNKNOWN where it cannot establish whether a non-idempotent action completed. An execution attempt identifier fences duplicate acknowledgement/commit.</w:t>
      </w:r>
    </w:p>
    <w:p>
      <w:pPr>
        <w:pStyle w:val="Heading2"/>
      </w:pPr>
      <w:r>
        <w:t>6.3 Typical run states</w:t>
      </w:r>
    </w:p>
    <w:p>
      <w:r>
        <w:t>Normative lifecycle: CREATED → QUEUED → LEASED → RUNNING → one terminal state: SUCCEEDED, HANDED_OFF, FAILED, CANCELLED, TIMED_OUT or UNKNOWN. NEEDS_ATTENTION is an operator-resolution flag/reason attached to UNKNOWN/FAILED, not a separate run state. COMPLETED is not an alternative run-state label. An API business rejection which is definitively received and handled according to a published script produces SUCCEEDED with `businessOutcome=REJECTED` (unless an independent UI execution failure occurs). HANDED_OFF means submission was acknowledged, not that the business work finished; a new continuation run is independently leased and tracked. Job and attempt identifiers are retained for reconciliation and fencing.</w:t>
      </w:r>
    </w:p>
    <w:p>
      <w:pPr>
        <w:pStyle w:val="Heading1"/>
      </w:pPr>
      <w:r>
        <w:t>7. External services and API integration semantics</w:t>
      </w:r>
    </w:p>
    <w:p>
      <w:r>
        <w:t>Business services are not Tracto modules, shared libraries or required SDK implementations. They can range from a small single endpoint to a large enterprise service and may run on cloud servers, on-premises VMs, Docker Compose, Kubernetes or a local machine. In isolated mode a customer may choose to package business-service containers alongside the Orchestrator; their code, operations, data and secrets remain the customer service owner’s responsibility.</w:t>
      </w:r>
    </w:p>
    <w:p>
      <w:pPr>
        <w:pStyle w:val="Heading2"/>
      </w:pPr>
      <w:r>
        <w:t>7.1 Synchronous call</w:t>
      </w:r>
    </w:p>
    <w:p>
      <w:r>
        <w:t>A Runtime gathers the minimum authorized UI/CLI inputs, invokes a documented business API directly, receives a timely result, maps approved fields to UI actions, asserts the resulting state and completes its run. Domain processing takes place exclusively in the service.</w:t>
      </w:r>
    </w:p>
    <w:p>
      <w:pPr>
        <w:pStyle w:val="Heading2"/>
      </w:pPr>
      <w:r>
        <w:t>7.2 Asynchronous handoff</w:t>
      </w:r>
    </w:p>
    <w:p>
      <w:r>
        <w:t>Run A submits the business request with correlation ID and idempotency key. The service accepts work and returns its own businessJobId. Run A persists the handoff and finishes as HANDED_OFF. A later service event contains ONLY eventId, eventType, businessJobId, correlationId and resultRef as business metadata; integrity/authentication are verified through an approved signed/HMAC request envelope and replay controls. The service cannot name a continuation script. The Orchestrator resolves the correlation to its own preconfigured continuation mapping, deduplicates by eventId and businessJobId, checks event eligibility and creates Run B. Run B independently performs the UI update and reports its own technical outcome.</w:t>
      </w:r>
    </w:p>
    <w:p>
      <w:pPr>
        <w:pStyle w:val="Heading2"/>
      </w:pPr>
      <w:r>
        <w:t>7.3 Four service outcome categories</w:t>
      </w:r>
    </w:p>
    <w:tbl>
      <w:tblPr>
        <w:tblStyle w:val="TableGrid"/>
        <w:tblW w:type="auto" w:w="0"/>
        <w:jc w:val="center"/>
        <w:tblLayout w:type="fixed"/>
        <w:tblLook w:firstColumn="1" w:firstRow="1" w:lastColumn="0" w:lastRow="0" w:noHBand="0" w:noVBand="1" w:val="04A0"/>
      </w:tblPr>
      <w:tblGrid>
        <w:gridCol w:w="1944"/>
        <w:gridCol w:w="3168"/>
        <w:gridCol w:w="4536"/>
      </w:tblGrid>
      <w:tr>
        <w:trPr>
          <w:tblHeader w:val="true"/>
          <w:tblHeader w:val="true"/>
          <w:cantSplit/>
        </w:trPr>
        <w:tc>
          <w:tcPr>
            <w:tcW w:type="dxa" w:w="3360"/>
            <w:shd w:fill="15354F"/>
            <w:tcMar>
              <w:top w:w="80" w:type="dxa"/>
              <w:bottom w:w="80" w:type="dxa"/>
              <w:left w:w="95" w:type="dxa"/>
              <w:right w:w="95" w:type="dxa"/>
            </w:tcMar>
          </w:tcPr>
          <w:p>
            <w:r>
              <w:rPr>
                <w:b/>
                <w:color w:val="FFFFFF"/>
                <w:sz w:val="16"/>
              </w:rPr>
              <w:t>Category</w:t>
            </w:r>
          </w:p>
        </w:tc>
        <w:tc>
          <w:tcPr>
            <w:tcW w:type="dxa" w:w="3360"/>
            <w:shd w:fill="15354F"/>
            <w:tcMar>
              <w:top w:w="80" w:type="dxa"/>
              <w:bottom w:w="80" w:type="dxa"/>
              <w:left w:w="95" w:type="dxa"/>
              <w:right w:w="95" w:type="dxa"/>
            </w:tcMar>
          </w:tcPr>
          <w:p>
            <w:r>
              <w:rPr>
                <w:b/>
                <w:color w:val="FFFFFF"/>
                <w:sz w:val="16"/>
              </w:rPr>
              <w:t>Meaning</w:t>
            </w:r>
          </w:p>
        </w:tc>
        <w:tc>
          <w:tcPr>
            <w:tcW w:type="dxa" w:w="3360"/>
            <w:shd w:fill="15354F"/>
            <w:tcMar>
              <w:top w:w="80" w:type="dxa"/>
              <w:bottom w:w="80" w:type="dxa"/>
              <w:left w:w="95" w:type="dxa"/>
              <w:right w:w="95" w:type="dxa"/>
            </w:tcMar>
          </w:tcPr>
          <w:p>
            <w:r>
              <w:rPr>
                <w:b/>
                <w:color w:val="FFFFFF"/>
                <w:sz w:val="16"/>
              </w:rPr>
              <w:t>Allowed Runtime / Orchestrator behavior</w:t>
            </w:r>
          </w:p>
        </w:tc>
      </w:tr>
      <w:tr>
        <w:trPr>
          <w:cantSplit/>
          <w:cantSplit/>
        </w:trPr>
        <w:tc>
          <w:tcPr>
            <w:tcW w:type="dxa" w:w="1944"/>
            <w:vAlign w:val="center"/>
            <w:tcMar>
              <w:top w:w="80" w:type="dxa"/>
              <w:bottom w:w="80" w:type="dxa"/>
              <w:left w:w="95" w:type="dxa"/>
              <w:right w:w="95" w:type="dxa"/>
            </w:tcMar>
          </w:tcPr>
          <w:p>
            <w:pPr>
              <w:spacing w:after="0" w:line="240" w:lineRule="auto"/>
            </w:pPr>
            <w:r>
              <w:rPr>
                <w:color w:val="15354F"/>
                <w:sz w:val="15"/>
              </w:rPr>
              <w:t>Business rejection</w:t>
            </w:r>
          </w:p>
        </w:tc>
        <w:tc>
          <w:tcPr>
            <w:tcW w:type="dxa" w:w="3168"/>
            <w:vAlign w:val="center"/>
            <w:tcMar>
              <w:top w:w="80" w:type="dxa"/>
              <w:bottom w:w="80" w:type="dxa"/>
              <w:left w:w="95" w:type="dxa"/>
              <w:right w:w="95" w:type="dxa"/>
            </w:tcMar>
          </w:tcPr>
          <w:p>
            <w:pPr>
              <w:spacing w:after="0" w:line="240" w:lineRule="auto"/>
            </w:pPr>
            <w:r>
              <w:rPr>
                <w:color w:val="15354F"/>
                <w:sz w:val="15"/>
              </w:rPr>
              <w:t>Business service has definitively rejected the requested operation under its own rules.</w:t>
            </w:r>
          </w:p>
        </w:tc>
        <w:tc>
          <w:tcPr>
            <w:tcW w:type="dxa" w:w="4536"/>
            <w:vAlign w:val="center"/>
            <w:tcMar>
              <w:top w:w="80" w:type="dxa"/>
              <w:bottom w:w="80" w:type="dxa"/>
              <w:left w:w="95" w:type="dxa"/>
              <w:right w:w="95" w:type="dxa"/>
            </w:tcMar>
          </w:tcPr>
          <w:p>
            <w:pPr>
              <w:spacing w:after="0" w:line="240" w:lineRule="auto"/>
            </w:pPr>
            <w:r>
              <w:rPr>
                <w:color w:val="15354F"/>
                <w:sz w:val="15"/>
              </w:rPr>
              <w:t>Capture structured rejection; follow explicitly authored UI-display branch or conclude with business-result status; no technical retry merely because rejected.</w:t>
            </w:r>
          </w:p>
        </w:tc>
      </w:tr>
      <w:tr>
        <w:trPr>
          <w:cantSplit/>
          <w:cantSplit/>
        </w:trPr>
        <w:tc>
          <w:tcPr>
            <w:tcW w:type="dxa" w:w="1944"/>
            <w:vAlign w:val="center"/>
            <w:tcMar>
              <w:top w:w="80" w:type="dxa"/>
              <w:bottom w:w="80" w:type="dxa"/>
              <w:left w:w="95" w:type="dxa"/>
              <w:right w:w="95" w:type="dxa"/>
            </w:tcMar>
            <w:shd w:fill="F6F8FA"/>
          </w:tcPr>
          <w:p>
            <w:pPr>
              <w:spacing w:after="0" w:line="240" w:lineRule="auto"/>
            </w:pPr>
            <w:r>
              <w:rPr>
                <w:color w:val="15354F"/>
                <w:sz w:val="15"/>
              </w:rPr>
              <w:t>Technical failure</w:t>
            </w:r>
          </w:p>
        </w:tc>
        <w:tc>
          <w:tcPr>
            <w:tcW w:type="dxa" w:w="3168"/>
            <w:vAlign w:val="center"/>
            <w:tcMar>
              <w:top w:w="80" w:type="dxa"/>
              <w:bottom w:w="80" w:type="dxa"/>
              <w:left w:w="95" w:type="dxa"/>
              <w:right w:w="95" w:type="dxa"/>
            </w:tcMar>
            <w:shd w:fill="F6F8FA"/>
          </w:tcPr>
          <w:p>
            <w:pPr>
              <w:spacing w:after="0" w:line="240" w:lineRule="auto"/>
            </w:pPr>
            <w:r>
              <w:rPr>
                <w:color w:val="15354F"/>
                <w:sz w:val="15"/>
              </w:rPr>
              <w:t>Non-retryable failure such as incompatible schema, auth failure or policy denial.</w:t>
            </w:r>
          </w:p>
        </w:tc>
        <w:tc>
          <w:tcPr>
            <w:tcW w:type="dxa" w:w="4536"/>
            <w:vAlign w:val="center"/>
            <w:tcMar>
              <w:top w:w="80" w:type="dxa"/>
              <w:bottom w:w="80" w:type="dxa"/>
              <w:left w:w="95" w:type="dxa"/>
              <w:right w:w="95" w:type="dxa"/>
            </w:tcMar>
            <w:shd w:fill="F6F8FA"/>
          </w:tcPr>
          <w:p>
            <w:pPr>
              <w:spacing w:after="0" w:line="240" w:lineRule="auto"/>
            </w:pPr>
            <w:r>
              <w:rPr>
                <w:color w:val="15354F"/>
                <w:sz w:val="15"/>
              </w:rPr>
              <w:t>Report technical error; stop or escalate; do not guess domain semantics.</w:t>
            </w:r>
          </w:p>
        </w:tc>
      </w:tr>
      <w:tr>
        <w:trPr>
          <w:cantSplit/>
          <w:cantSplit/>
        </w:trPr>
        <w:tc>
          <w:tcPr>
            <w:tcW w:type="dxa" w:w="1944"/>
            <w:vAlign w:val="center"/>
            <w:tcMar>
              <w:top w:w="80" w:type="dxa"/>
              <w:bottom w:w="80" w:type="dxa"/>
              <w:left w:w="95" w:type="dxa"/>
              <w:right w:w="95" w:type="dxa"/>
            </w:tcMar>
          </w:tcPr>
          <w:p>
            <w:pPr>
              <w:spacing w:after="0" w:line="240" w:lineRule="auto"/>
            </w:pPr>
            <w:r>
              <w:rPr>
                <w:color w:val="15354F"/>
                <w:sz w:val="15"/>
              </w:rPr>
              <w:t>Transient failure</w:t>
            </w:r>
          </w:p>
        </w:tc>
        <w:tc>
          <w:tcPr>
            <w:tcW w:type="dxa" w:w="3168"/>
            <w:vAlign w:val="center"/>
            <w:tcMar>
              <w:top w:w="80" w:type="dxa"/>
              <w:bottom w:w="80" w:type="dxa"/>
              <w:left w:w="95" w:type="dxa"/>
              <w:right w:w="95" w:type="dxa"/>
            </w:tcMar>
          </w:tcPr>
          <w:p>
            <w:pPr>
              <w:spacing w:after="0" w:line="240" w:lineRule="auto"/>
            </w:pPr>
            <w:r>
              <w:rPr>
                <w:color w:val="15354F"/>
                <w:sz w:val="15"/>
              </w:rPr>
              <w:t>Short-lived timeout, throttling or recoverable connectivity issue with safe retry classification.</w:t>
            </w:r>
          </w:p>
        </w:tc>
        <w:tc>
          <w:tcPr>
            <w:tcW w:type="dxa" w:w="4536"/>
            <w:vAlign w:val="center"/>
            <w:tcMar>
              <w:top w:w="80" w:type="dxa"/>
              <w:bottom w:w="80" w:type="dxa"/>
              <w:left w:w="95" w:type="dxa"/>
              <w:right w:w="95" w:type="dxa"/>
            </w:tcMar>
          </w:tcPr>
          <w:p>
            <w:pPr>
              <w:spacing w:after="0" w:line="240" w:lineRule="auto"/>
            </w:pPr>
            <w:r>
              <w:rPr>
                <w:color w:val="15354F"/>
                <w:sz w:val="15"/>
              </w:rPr>
              <w:t>Bounded retry/backoff only if safe and idempotent, honoring server retry guidance.</w:t>
            </w:r>
          </w:p>
        </w:tc>
      </w:tr>
      <w:tr>
        <w:trPr>
          <w:cantSplit/>
          <w:cantSplit/>
        </w:trPr>
        <w:tc>
          <w:tcPr>
            <w:tcW w:type="dxa" w:w="1944"/>
            <w:vAlign w:val="center"/>
            <w:tcMar>
              <w:top w:w="80" w:type="dxa"/>
              <w:bottom w:w="80" w:type="dxa"/>
              <w:left w:w="95" w:type="dxa"/>
              <w:right w:w="95" w:type="dxa"/>
            </w:tcMar>
            <w:shd w:fill="F6F8FA"/>
          </w:tcPr>
          <w:p>
            <w:pPr>
              <w:spacing w:after="0" w:line="240" w:lineRule="auto"/>
            </w:pPr>
            <w:r>
              <w:rPr>
                <w:color w:val="15354F"/>
                <w:sz w:val="15"/>
              </w:rPr>
              <w:t>Unknown outcome</w:t>
            </w:r>
          </w:p>
        </w:tc>
        <w:tc>
          <w:tcPr>
            <w:tcW w:type="dxa" w:w="3168"/>
            <w:vAlign w:val="center"/>
            <w:tcMar>
              <w:top w:w="80" w:type="dxa"/>
              <w:bottom w:w="80" w:type="dxa"/>
              <w:left w:w="95" w:type="dxa"/>
              <w:right w:w="95" w:type="dxa"/>
            </w:tcMar>
            <w:shd w:fill="F6F8FA"/>
          </w:tcPr>
          <w:p>
            <w:pPr>
              <w:spacing w:after="0" w:line="240" w:lineRule="auto"/>
            </w:pPr>
            <w:r>
              <w:rPr>
                <w:color w:val="15354F"/>
                <w:sz w:val="15"/>
              </w:rPr>
              <w:t>Submission may have succeeded but no authoritative completion result is known.</w:t>
            </w:r>
          </w:p>
        </w:tc>
        <w:tc>
          <w:tcPr>
            <w:tcW w:type="dxa" w:w="4536"/>
            <w:vAlign w:val="center"/>
            <w:tcMar>
              <w:top w:w="80" w:type="dxa"/>
              <w:bottom w:w="80" w:type="dxa"/>
              <w:left w:w="95" w:type="dxa"/>
              <w:right w:w="95" w:type="dxa"/>
            </w:tcMar>
            <w:shd w:fill="F6F8FA"/>
          </w:tcPr>
          <w:p>
            <w:pPr>
              <w:spacing w:after="0" w:line="240" w:lineRule="auto"/>
            </w:pPr>
            <w:r>
              <w:rPr>
                <w:color w:val="15354F"/>
                <w:sz w:val="15"/>
              </w:rPr>
              <w:t>Do not automatically replay a non-idempotent request or UI submission; reconcile by ID or mark UNKNOWN/NEEDS_ATTENTION.</w:t>
            </w:r>
          </w:p>
        </w:tc>
      </w:tr>
    </w:tbl>
    <w:p>
      <w:pPr>
        <w:spacing w:after="0"/>
      </w:pPr>
    </w:p>
    <w:p>
      <w:pPr>
        <w:pStyle w:val="Heading2"/>
      </w:pPr>
      <w:r>
        <w:t>7.4 State ownership</w:t>
      </w:r>
    </w:p>
    <w:tbl>
      <w:tblPr>
        <w:tblStyle w:val="TableGrid"/>
        <w:tblW w:type="auto" w:w="0"/>
        <w:jc w:val="center"/>
        <w:tblLayout w:type="fixed"/>
        <w:tblLook w:firstColumn="1" w:firstRow="1" w:lastColumn="0" w:lastRow="0" w:noHBand="0" w:noVBand="1" w:val="04A0"/>
      </w:tblPr>
      <w:tblGrid>
        <w:gridCol w:w="4896"/>
        <w:gridCol w:w="4752"/>
      </w:tblGrid>
      <w:tr>
        <w:trPr>
          <w:tblHeader w:val="true"/>
          <w:tblHeader w:val="true"/>
          <w:cantSplit/>
        </w:trPr>
        <w:tc>
          <w:tcPr>
            <w:tcW w:type="dxa" w:w="5040"/>
            <w:shd w:fill="15354F"/>
            <w:tcMar>
              <w:top w:w="80" w:type="dxa"/>
              <w:bottom w:w="80" w:type="dxa"/>
              <w:left w:w="95" w:type="dxa"/>
              <w:right w:w="95" w:type="dxa"/>
            </w:tcMar>
          </w:tcPr>
          <w:p>
            <w:r>
              <w:rPr>
                <w:b/>
                <w:color w:val="FFFFFF"/>
                <w:sz w:val="16"/>
              </w:rPr>
              <w:t>State / artifact</w:t>
            </w:r>
          </w:p>
        </w:tc>
        <w:tc>
          <w:tcPr>
            <w:tcW w:type="dxa" w:w="5040"/>
            <w:shd w:fill="15354F"/>
            <w:tcMar>
              <w:top w:w="80" w:type="dxa"/>
              <w:bottom w:w="80" w:type="dxa"/>
              <w:left w:w="95" w:type="dxa"/>
              <w:right w:w="95" w:type="dxa"/>
            </w:tcMar>
          </w:tcPr>
          <w:p>
            <w:r>
              <w:rPr>
                <w:b/>
                <w:color w:val="FFFFFF"/>
                <w:sz w:val="16"/>
              </w:rPr>
              <w:t>System of record</w:t>
            </w:r>
          </w:p>
        </w:tc>
      </w:tr>
      <w:tr>
        <w:trPr>
          <w:cantSplit/>
          <w:cantSplit/>
        </w:trPr>
        <w:tc>
          <w:tcPr>
            <w:tcW w:type="dxa" w:w="4896"/>
            <w:vAlign w:val="center"/>
            <w:tcMar>
              <w:top w:w="80" w:type="dxa"/>
              <w:bottom w:w="80" w:type="dxa"/>
              <w:left w:w="95" w:type="dxa"/>
              <w:right w:w="95" w:type="dxa"/>
            </w:tcMar>
          </w:tcPr>
          <w:p>
            <w:pPr>
              <w:spacing w:after="0" w:line="240" w:lineRule="auto"/>
            </w:pPr>
            <w:r>
              <w:rPr>
                <w:color w:val="15354F"/>
                <w:sz w:val="15"/>
              </w:rPr>
              <w:t>Business job, domain result, calculations, reconciliation, compensation</w:t>
            </w:r>
          </w:p>
        </w:tc>
        <w:tc>
          <w:tcPr>
            <w:tcW w:type="dxa" w:w="4752"/>
            <w:vAlign w:val="center"/>
            <w:tcMar>
              <w:top w:w="80" w:type="dxa"/>
              <w:bottom w:w="80" w:type="dxa"/>
              <w:left w:w="95" w:type="dxa"/>
              <w:right w:w="95" w:type="dxa"/>
            </w:tcMar>
          </w:tcPr>
          <w:p>
            <w:pPr>
              <w:spacing w:after="0" w:line="240" w:lineRule="auto"/>
            </w:pPr>
            <w:r>
              <w:rPr>
                <w:color w:val="15354F"/>
                <w:sz w:val="15"/>
              </w:rPr>
              <w:t>External business service</w:t>
            </w:r>
          </w:p>
        </w:tc>
      </w:tr>
      <w:tr>
        <w:trPr>
          <w:cantSplit/>
          <w:cantSplit/>
        </w:trPr>
        <w:tc>
          <w:tcPr>
            <w:tcW w:type="dxa" w:w="4896"/>
            <w:vAlign w:val="center"/>
            <w:tcMar>
              <w:top w:w="80" w:type="dxa"/>
              <w:bottom w:w="80" w:type="dxa"/>
              <w:left w:w="95" w:type="dxa"/>
              <w:right w:w="95" w:type="dxa"/>
            </w:tcMar>
            <w:shd w:fill="F6F8FA"/>
          </w:tcPr>
          <w:p>
            <w:pPr>
              <w:spacing w:after="0" w:line="240" w:lineRule="auto"/>
            </w:pPr>
            <w:r>
              <w:rPr>
                <w:color w:val="15354F"/>
                <w:sz w:val="15"/>
              </w:rPr>
              <w:t>Automation script and published artifact</w:t>
            </w:r>
          </w:p>
        </w:tc>
        <w:tc>
          <w:tcPr>
            <w:tcW w:type="dxa" w:w="4752"/>
            <w:vAlign w:val="center"/>
            <w:tcMar>
              <w:top w:w="80" w:type="dxa"/>
              <w:bottom w:w="80" w:type="dxa"/>
              <w:left w:w="95" w:type="dxa"/>
              <w:right w:w="95" w:type="dxa"/>
            </w:tcMar>
            <w:shd w:fill="F6F8FA"/>
          </w:tcPr>
          <w:p>
            <w:pPr>
              <w:spacing w:after="0" w:line="240" w:lineRule="auto"/>
            </w:pPr>
            <w:r>
              <w:rPr>
                <w:color w:val="15354F"/>
                <w:sz w:val="15"/>
              </w:rPr>
              <w:t>Tracto Designer / artifact registry</w:t>
            </w:r>
          </w:p>
        </w:tc>
      </w:tr>
      <w:tr>
        <w:trPr>
          <w:cantSplit/>
          <w:cantSplit/>
        </w:trPr>
        <w:tc>
          <w:tcPr>
            <w:tcW w:type="dxa" w:w="4896"/>
            <w:vAlign w:val="center"/>
            <w:tcMar>
              <w:top w:w="80" w:type="dxa"/>
              <w:bottom w:w="80" w:type="dxa"/>
              <w:left w:w="95" w:type="dxa"/>
              <w:right w:w="95" w:type="dxa"/>
            </w:tcMar>
          </w:tcPr>
          <w:p>
            <w:pPr>
              <w:spacing w:after="0" w:line="240" w:lineRule="auto"/>
            </w:pPr>
            <w:r>
              <w:rPr>
                <w:color w:val="15354F"/>
                <w:sz w:val="15"/>
              </w:rPr>
              <w:t>Run ID, worker lease, technical status, evidence references</w:t>
            </w:r>
          </w:p>
        </w:tc>
        <w:tc>
          <w:tcPr>
            <w:tcW w:type="dxa" w:w="4752"/>
            <w:vAlign w:val="center"/>
            <w:tcMar>
              <w:top w:w="80" w:type="dxa"/>
              <w:bottom w:w="80" w:type="dxa"/>
              <w:left w:w="95" w:type="dxa"/>
              <w:right w:w="95" w:type="dxa"/>
            </w:tcMar>
          </w:tcPr>
          <w:p>
            <w:pPr>
              <w:spacing w:after="0" w:line="240" w:lineRule="auto"/>
            </w:pPr>
            <w:r>
              <w:rPr>
                <w:color w:val="15354F"/>
                <w:sz w:val="15"/>
              </w:rPr>
              <w:t>Tracto Orchestrator</w:t>
            </w:r>
          </w:p>
        </w:tc>
      </w:tr>
      <w:tr>
        <w:trPr>
          <w:cantSplit/>
          <w:cantSplit/>
        </w:trPr>
        <w:tc>
          <w:tcPr>
            <w:tcW w:type="dxa" w:w="4896"/>
            <w:vAlign w:val="center"/>
            <w:tcMar>
              <w:top w:w="80" w:type="dxa"/>
              <w:bottom w:w="80" w:type="dxa"/>
              <w:left w:w="95" w:type="dxa"/>
              <w:right w:w="95" w:type="dxa"/>
            </w:tcMar>
            <w:shd w:fill="F6F8FA"/>
          </w:tcPr>
          <w:p>
            <w:pPr>
              <w:spacing w:after="0" w:line="240" w:lineRule="auto"/>
            </w:pPr>
            <w:r>
              <w:rPr>
                <w:color w:val="15354F"/>
                <w:sz w:val="15"/>
              </w:rPr>
              <w:t>Windows interactive application and transient input state</w:t>
            </w:r>
          </w:p>
        </w:tc>
        <w:tc>
          <w:tcPr>
            <w:tcW w:type="dxa" w:w="4752"/>
            <w:vAlign w:val="center"/>
            <w:tcMar>
              <w:top w:w="80" w:type="dxa"/>
              <w:bottom w:w="80" w:type="dxa"/>
              <w:left w:w="95" w:type="dxa"/>
              <w:right w:w="95" w:type="dxa"/>
            </w:tcMar>
            <w:shd w:fill="F6F8FA"/>
          </w:tcPr>
          <w:p>
            <w:pPr>
              <w:spacing w:after="0" w:line="240" w:lineRule="auto"/>
            </w:pPr>
            <w:r>
              <w:rPr>
                <w:color w:val="15354F"/>
                <w:sz w:val="15"/>
              </w:rPr>
              <w:t>Windows Runtime</w:t>
            </w:r>
          </w:p>
        </w:tc>
      </w:tr>
      <w:tr>
        <w:trPr>
          <w:cantSplit/>
          <w:cantSplit/>
        </w:trPr>
        <w:tc>
          <w:tcPr>
            <w:tcW w:type="dxa" w:w="4896"/>
            <w:vAlign w:val="center"/>
            <w:tcMar>
              <w:top w:w="80" w:type="dxa"/>
              <w:bottom w:w="80" w:type="dxa"/>
              <w:left w:w="95" w:type="dxa"/>
              <w:right w:w="95" w:type="dxa"/>
            </w:tcMar>
          </w:tcPr>
          <w:p>
            <w:pPr>
              <w:spacing w:after="0" w:line="240" w:lineRule="auto"/>
            </w:pPr>
            <w:r>
              <w:rPr>
                <w:color w:val="15354F"/>
                <w:sz w:val="15"/>
              </w:rPr>
              <w:t>Password, token or credential used by Windows Runtime</w:t>
            </w:r>
          </w:p>
        </w:tc>
        <w:tc>
          <w:tcPr>
            <w:tcW w:type="dxa" w:w="4752"/>
            <w:vAlign w:val="center"/>
            <w:tcMar>
              <w:top w:w="80" w:type="dxa"/>
              <w:bottom w:w="80" w:type="dxa"/>
              <w:left w:w="95" w:type="dxa"/>
              <w:right w:w="95" w:type="dxa"/>
            </w:tcMar>
          </w:tcPr>
          <w:p>
            <w:pPr>
              <w:spacing w:after="0" w:line="240" w:lineRule="auto"/>
            </w:pPr>
            <w:r>
              <w:rPr>
                <w:color w:val="15354F"/>
                <w:sz w:val="15"/>
              </w:rPr>
              <w:t>Windows-side secret provider or connected enterprise vault</w:t>
            </w:r>
          </w:p>
        </w:tc>
      </w:tr>
      <w:tr>
        <w:trPr>
          <w:cantSplit/>
          <w:cantSplit/>
        </w:trPr>
        <w:tc>
          <w:tcPr>
            <w:tcW w:type="dxa" w:w="4896"/>
            <w:vAlign w:val="center"/>
            <w:tcMar>
              <w:top w:w="80" w:type="dxa"/>
              <w:bottom w:w="80" w:type="dxa"/>
              <w:left w:w="95" w:type="dxa"/>
              <w:right w:w="95" w:type="dxa"/>
            </w:tcMar>
            <w:shd w:fill="F6F8FA"/>
          </w:tcPr>
          <w:p>
            <w:pPr>
              <w:spacing w:after="0" w:line="240" w:lineRule="auto"/>
            </w:pPr>
            <w:r>
              <w:rPr>
                <w:color w:val="15354F"/>
                <w:sz w:val="15"/>
              </w:rPr>
              <w:t>Database credentials for customer business-service containers</w:t>
            </w:r>
          </w:p>
        </w:tc>
        <w:tc>
          <w:tcPr>
            <w:tcW w:type="dxa" w:w="4752"/>
            <w:vAlign w:val="center"/>
            <w:tcMar>
              <w:top w:w="80" w:type="dxa"/>
              <w:bottom w:w="80" w:type="dxa"/>
              <w:left w:w="95" w:type="dxa"/>
              <w:right w:w="95" w:type="dxa"/>
            </w:tcMar>
            <w:shd w:fill="F6F8FA"/>
          </w:tcPr>
          <w:p>
            <w:pPr>
              <w:spacing w:after="0" w:line="240" w:lineRule="auto"/>
            </w:pPr>
            <w:r>
              <w:rPr>
                <w:color w:val="15354F"/>
                <w:sz w:val="15"/>
              </w:rPr>
              <w:t>External business service</w:t>
            </w:r>
          </w:p>
        </w:tc>
      </w:tr>
    </w:tbl>
    <w:p>
      <w:pPr>
        <w:spacing w:after="0"/>
      </w:pPr>
    </w:p>
    <w:p>
      <w:pPr>
        <w:pStyle w:val="Heading1"/>
      </w:pPr>
      <w:r>
        <w:t>8. Script schema and compatibility</w:t>
      </w:r>
    </w:p>
    <w:p>
      <w:r>
        <w:t>Every published automation artifact uses a common outer envelope: schemaVersion, automationId, publication version, runtimeType, typed inputs/outputs, steps and approved policy references. Each Runtime owns its own namespaced action payload and target/selector schema. The common contract contains an enforceable universal prohibition on business decision expressions: permitted conditions are technical state assertions or equality against API outcome category and allowlisted service actionCode. No cross-engine steps in one published script in v1; cross-environment processes are separate bounded runs orchestrated through authenticated continuation mappings. The validator rejects arithmetic/relational expressions over domain data, dynamic executable script identifiers, and arbitrary code. Opaque API-returned values can be passed through or displayed without deriving business decisions.</w:t>
      </w:r>
    </w:p>
    <w:p>
      <w:pPr/>
      <w:r>
        <w:t>Permitted example: `if api.outcomeCategory == BUSINESS_REJECTION`, display service-provided status. Prohibited example: `if response.amount &gt; 10000`, select approver. `ui.textEquals` is permitted only as an observable technical postcondition or navigation assertion, never as a rule deciding business authorization. Script validation distinguishes UI-state provenance from service business-field provenance.</w:t>
      </w:r>
    </w:p>
    <w:p>
      <w:r>
        <w:t>v1 Runtime supports the current major script schema and the immediately preceding major version simultaneously. Older scripts must be republished through the Designer using supported migration/validation. A job is pinned to an immutable published script version; in-flight executions are never silently switched to a new definition. A signed offline upgrade must preserve support for the two-version window.</w:t>
      </w:r>
    </w:p>
    <w:p>
      <w:pPr>
        <w:pStyle w:val="Heading2"/>
      </w:pPr>
      <w:r>
        <w:t>8.1 Contract field overview</w:t>
      </w:r>
    </w:p>
    <w:tbl>
      <w:tblPr>
        <w:tblStyle w:val="TableGrid"/>
        <w:tblW w:type="auto" w:w="0"/>
        <w:jc w:val="center"/>
        <w:tblLayout w:type="fixed"/>
        <w:tblLook w:firstColumn="1" w:firstRow="1" w:lastColumn="0" w:lastRow="0" w:noHBand="0" w:noVBand="1" w:val="04A0"/>
      </w:tblPr>
      <w:tblGrid>
        <w:gridCol w:w="1901"/>
        <w:gridCol w:w="7747"/>
      </w:tblGrid>
      <w:tr>
        <w:trPr>
          <w:tblHeader w:val="true"/>
          <w:tblHeader w:val="true"/>
          <w:cantSplit/>
        </w:trPr>
        <w:tc>
          <w:tcPr>
            <w:tcW w:type="dxa" w:w="5040"/>
            <w:shd w:fill="15354F"/>
            <w:tcMar>
              <w:top w:w="80" w:type="dxa"/>
              <w:bottom w:w="80" w:type="dxa"/>
              <w:left w:w="95" w:type="dxa"/>
              <w:right w:w="95" w:type="dxa"/>
            </w:tcMar>
          </w:tcPr>
          <w:p>
            <w:r>
              <w:rPr>
                <w:b/>
                <w:color w:val="FFFFFF"/>
                <w:sz w:val="16"/>
              </w:rPr>
              <w:t>Contract</w:t>
            </w:r>
          </w:p>
        </w:tc>
        <w:tc>
          <w:tcPr>
            <w:tcW w:type="dxa" w:w="5040"/>
            <w:shd w:fill="15354F"/>
            <w:tcMar>
              <w:top w:w="80" w:type="dxa"/>
              <w:bottom w:w="80" w:type="dxa"/>
              <w:left w:w="95" w:type="dxa"/>
              <w:right w:w="95" w:type="dxa"/>
            </w:tcMar>
          </w:tcPr>
          <w:p>
            <w:r>
              <w:rPr>
                <w:b/>
                <w:color w:val="FFFFFF"/>
                <w:sz w:val="16"/>
              </w:rPr>
              <w:t>Required/illustrative fields</w:t>
            </w:r>
          </w:p>
        </w:tc>
      </w:tr>
      <w:tr>
        <w:trPr>
          <w:cantSplit/>
          <w:cantSplit/>
        </w:trPr>
        <w:tc>
          <w:tcPr>
            <w:tcW w:type="dxa" w:w="1901"/>
            <w:vAlign w:val="center"/>
            <w:tcMar>
              <w:top w:w="80" w:type="dxa"/>
              <w:bottom w:w="80" w:type="dxa"/>
              <w:left w:w="95" w:type="dxa"/>
              <w:right w:w="95" w:type="dxa"/>
            </w:tcMar>
          </w:tcPr>
          <w:p>
            <w:pPr>
              <w:spacing w:after="0" w:line="240" w:lineRule="auto"/>
            </w:pPr>
            <w:r>
              <w:rPr>
                <w:color w:val="15354F"/>
                <w:sz w:val="15"/>
              </w:rPr>
              <w:t>Script</w:t>
            </w:r>
          </w:p>
        </w:tc>
        <w:tc>
          <w:tcPr>
            <w:tcW w:type="dxa" w:w="7747"/>
            <w:vAlign w:val="center"/>
            <w:tcMar>
              <w:top w:w="80" w:type="dxa"/>
              <w:bottom w:w="80" w:type="dxa"/>
              <w:left w:w="95" w:type="dxa"/>
              <w:right w:w="95" w:type="dxa"/>
            </w:tcMar>
          </w:tcPr>
          <w:p>
            <w:pPr>
              <w:spacing w:after="0" w:line="240" w:lineRule="auto"/>
            </w:pPr>
            <w:r>
              <w:rPr>
                <w:color w:val="15354F"/>
                <w:sz w:val="15"/>
              </w:rPr>
              <w:t>schemaVersion, automationId, version, runtimeType, inputs, outputs, steps[], policyRefs</w:t>
            </w:r>
          </w:p>
        </w:tc>
      </w:tr>
      <w:tr>
        <w:trPr>
          <w:cantSplit/>
          <w:cantSplit/>
        </w:trPr>
        <w:tc>
          <w:tcPr>
            <w:tcW w:type="dxa" w:w="1901"/>
            <w:vAlign w:val="center"/>
            <w:tcMar>
              <w:top w:w="80" w:type="dxa"/>
              <w:bottom w:w="80" w:type="dxa"/>
              <w:left w:w="95" w:type="dxa"/>
              <w:right w:w="95" w:type="dxa"/>
            </w:tcMar>
            <w:shd w:fill="F6F8FA"/>
          </w:tcPr>
          <w:p>
            <w:pPr>
              <w:spacing w:after="0" w:line="240" w:lineRule="auto"/>
            </w:pPr>
            <w:r>
              <w:rPr>
                <w:color w:val="15354F"/>
                <w:sz w:val="15"/>
              </w:rPr>
              <w:t>Job</w:t>
            </w:r>
          </w:p>
        </w:tc>
        <w:tc>
          <w:tcPr>
            <w:tcW w:type="dxa" w:w="7747"/>
            <w:vAlign w:val="center"/>
            <w:tcMar>
              <w:top w:w="80" w:type="dxa"/>
              <w:bottom w:w="80" w:type="dxa"/>
              <w:left w:w="95" w:type="dxa"/>
              <w:right w:w="95" w:type="dxa"/>
            </w:tcMar>
            <w:shd w:fill="F6F8FA"/>
          </w:tcPr>
          <w:p>
            <w:pPr>
              <w:spacing w:after="0" w:line="240" w:lineRule="auto"/>
            </w:pPr>
            <w:r>
              <w:rPr>
                <w:color w:val="15354F"/>
                <w:sz w:val="15"/>
              </w:rPr>
              <w:t>runId, attemptId, scriptVersionRef, workerId, correlationId, deadline, secretRefs</w:t>
            </w:r>
          </w:p>
        </w:tc>
      </w:tr>
      <w:tr>
        <w:trPr>
          <w:cantSplit/>
          <w:cantSplit/>
        </w:trPr>
        <w:tc>
          <w:tcPr>
            <w:tcW w:type="dxa" w:w="1901"/>
            <w:vAlign w:val="center"/>
            <w:tcMar>
              <w:top w:w="80" w:type="dxa"/>
              <w:bottom w:w="80" w:type="dxa"/>
              <w:left w:w="95" w:type="dxa"/>
              <w:right w:w="95" w:type="dxa"/>
            </w:tcMar>
          </w:tcPr>
          <w:p>
            <w:pPr>
              <w:spacing w:after="0" w:line="240" w:lineRule="auto"/>
            </w:pPr>
            <w:r>
              <w:rPr>
                <w:color w:val="15354F"/>
                <w:sz w:val="15"/>
              </w:rPr>
              <w:t>Step</w:t>
            </w:r>
          </w:p>
        </w:tc>
        <w:tc>
          <w:tcPr>
            <w:tcW w:type="dxa" w:w="7747"/>
            <w:vAlign w:val="center"/>
            <w:tcMar>
              <w:top w:w="80" w:type="dxa"/>
              <w:bottom w:w="80" w:type="dxa"/>
              <w:left w:w="95" w:type="dxa"/>
              <w:right w:w="95" w:type="dxa"/>
            </w:tcMar>
          </w:tcPr>
          <w:p>
            <w:pPr>
              <w:spacing w:after="0" w:line="240" w:lineRule="auto"/>
            </w:pPr>
            <w:r>
              <w:rPr>
                <w:color w:val="15354F"/>
                <w:sz w:val="15"/>
              </w:rPr>
              <w:t>stepId, actionType, target, parameters, preconditions, postconditions, timeout, retryClass</w:t>
            </w:r>
          </w:p>
        </w:tc>
      </w:tr>
      <w:tr>
        <w:trPr>
          <w:cantSplit/>
          <w:cantSplit/>
        </w:trPr>
        <w:tc>
          <w:tcPr>
            <w:tcW w:type="dxa" w:w="1901"/>
            <w:vAlign w:val="center"/>
            <w:tcMar>
              <w:top w:w="80" w:type="dxa"/>
              <w:bottom w:w="80" w:type="dxa"/>
              <w:left w:w="95" w:type="dxa"/>
              <w:right w:w="95" w:type="dxa"/>
            </w:tcMar>
            <w:shd w:fill="F6F8FA"/>
          </w:tcPr>
          <w:p>
            <w:pPr>
              <w:spacing w:after="0" w:line="240" w:lineRule="auto"/>
            </w:pPr>
            <w:r>
              <w:rPr>
                <w:color w:val="15354F"/>
                <w:sz w:val="15"/>
              </w:rPr>
              <w:t>API action</w:t>
            </w:r>
          </w:p>
        </w:tc>
        <w:tc>
          <w:tcPr>
            <w:tcW w:type="dxa" w:w="7747"/>
            <w:vAlign w:val="center"/>
            <w:tcMar>
              <w:top w:w="80" w:type="dxa"/>
              <w:bottom w:w="80" w:type="dxa"/>
              <w:left w:w="95" w:type="dxa"/>
              <w:right w:w="95" w:type="dxa"/>
            </w:tcMar>
            <w:shd w:fill="F6F8FA"/>
          </w:tcPr>
          <w:p>
            <w:pPr>
              <w:spacing w:after="0" w:line="240" w:lineRule="auto"/>
            </w:pPr>
            <w:r>
              <w:rPr>
                <w:color w:val="15354F"/>
                <w:sz w:val="15"/>
              </w:rPr>
              <w:t>endpointRef, method, payloadMapping, authSecretRef, idempotencyKey, timeout, outcomeMapping</w:t>
            </w:r>
          </w:p>
        </w:tc>
      </w:tr>
      <w:tr>
        <w:trPr>
          <w:cantSplit/>
          <w:cantSplit/>
        </w:trPr>
        <w:tc>
          <w:tcPr>
            <w:tcW w:type="dxa" w:w="1901"/>
            <w:vAlign w:val="center"/>
            <w:tcMar>
              <w:top w:w="80" w:type="dxa"/>
              <w:bottom w:w="80" w:type="dxa"/>
              <w:left w:w="95" w:type="dxa"/>
              <w:right w:w="95" w:type="dxa"/>
            </w:tcMar>
          </w:tcPr>
          <w:p>
            <w:pPr>
              <w:spacing w:after="0" w:line="240" w:lineRule="auto"/>
            </w:pPr>
            <w:r>
              <w:rPr>
                <w:color w:val="15354F"/>
                <w:sz w:val="15"/>
              </w:rPr>
              <w:t>Status/telemetry</w:t>
            </w:r>
          </w:p>
        </w:tc>
        <w:tc>
          <w:tcPr>
            <w:tcW w:type="dxa" w:w="7747"/>
            <w:vAlign w:val="center"/>
            <w:tcMar>
              <w:top w:w="80" w:type="dxa"/>
              <w:bottom w:w="80" w:type="dxa"/>
              <w:left w:w="95" w:type="dxa"/>
              <w:right w:w="95" w:type="dxa"/>
            </w:tcMar>
          </w:tcPr>
          <w:p>
            <w:pPr>
              <w:spacing w:after="0" w:line="240" w:lineRule="auto"/>
            </w:pPr>
            <w:r>
              <w:rPr>
                <w:color w:val="15354F"/>
                <w:sz w:val="15"/>
              </w:rPr>
              <w:t>runId, attemptId, stepId, status, errorCategory, businessJobId?, evidenceRefs</w:t>
            </w:r>
          </w:p>
        </w:tc>
      </w:tr>
      <w:tr>
        <w:trPr>
          <w:cantSplit/>
          <w:cantSplit/>
        </w:trPr>
        <w:tc>
          <w:tcPr>
            <w:tcW w:type="dxa" w:w="1901"/>
            <w:vAlign w:val="center"/>
            <w:tcMar>
              <w:top w:w="80" w:type="dxa"/>
              <w:bottom w:w="80" w:type="dxa"/>
              <w:left w:w="95" w:type="dxa"/>
              <w:right w:w="95" w:type="dxa"/>
            </w:tcMar>
            <w:shd w:fill="F6F8FA"/>
          </w:tcPr>
          <w:p>
            <w:pPr>
              <w:spacing w:after="0" w:line="240" w:lineRule="auto"/>
            </w:pPr>
            <w:r>
              <w:rPr>
                <w:color w:val="15354F"/>
                <w:sz w:val="15"/>
              </w:rPr>
              <w:t>Continuation event</w:t>
            </w:r>
          </w:p>
        </w:tc>
        <w:tc>
          <w:tcPr>
            <w:tcW w:type="dxa" w:w="7747"/>
            <w:vAlign w:val="center"/>
            <w:tcMar>
              <w:top w:w="80" w:type="dxa"/>
              <w:bottom w:w="80" w:type="dxa"/>
              <w:left w:w="95" w:type="dxa"/>
              <w:right w:w="95" w:type="dxa"/>
            </w:tcMar>
            <w:shd w:fill="F6F8FA"/>
          </w:tcPr>
          <w:p>
            <w:r>
              <w:t>eventId, eventType, businessJobId, correlationId, resultRef; authenticated signed/HMAC envelope (no script selector)</w:t>
            </w:r>
          </w:p>
        </w:tc>
      </w:tr>
    </w:tbl>
    <w:p>
      <w:pPr>
        <w:spacing w:after="0"/>
      </w:pPr>
    </w:p>
    <w:p>
      <w:pPr>
        <w:pStyle w:val="Heading1"/>
      </w:pPr>
      <w:r>
        <w:t>9. Deployment architecture</w:t>
      </w:r>
    </w:p>
    <w:p>
      <w:pPr>
        <w:pStyle w:val="Heading2"/>
      </w:pPr>
      <w:r>
        <w:t>9.1 Connected mode</w:t>
      </w:r>
    </w:p>
    <w:p>
      <w:r>
        <w:t>A central customer-managed .NET Linux-container Orchestrator runs in Docker or Kubernetes. Authorized Windows hosts run the Tracto Runtime; the interactive Executor initiates outbound pull/lease/heartbeat. The Designer operates on an authorized Windows authoring workstation and publishes signed artifacts to the Tracto registry. External business services remain independent API endpoints. On-demand Windows interactive session creation under vault-backed identities is a proposed connected-mode capability, not yet proven. POC-10 is required before connected-mode unattended provisioning may be claimed.</w:t>
      </w:r>
    </w:p>
    <w:p>
      <w:pPr>
        <w:pStyle w:val="Heading2"/>
      </w:pPr>
      <w:r>
        <w:t>9.2 Isolated mode</w:t>
      </w:r>
    </w:p>
    <w:p>
      <w:r>
        <w:t>An isolated Windows bot host installs the Runtime workers required by that customer plus one shared Windows Runtime Host Supervisor, with WSL2 registered under the bot user. The .NET Orchestrator runs in Docker Engine within WSL2 without Docker Desktop. Optional customer business-service containers remain external. Packages for selected Runtime applications, the Orchestrator and the Designer are signed and can be installed or updated independently within declared contract compatibility; offline script imports remain separate signed artifacts. Supervisor boot-time availability and interactive-session provisioning are separately proven in the deployment PoCs.</w:t>
      </w:r>
    </w:p>
    <w:p>
      <w:pPr>
        <w:pStyle w:val="Heading3"/>
      </w:pPr>
      <w:r>
        <w:t>9.2.1 Isolated deployment prerequisites</w:t>
      </w:r>
    </w:p>
    <w:p>
      <w:pPr/>
      <w:r>
        <w:t>The v1 certified environment is a persistent (non-resetting) Windows workstation or VM with sufficient local disk, memory and CPU for Windows, WSL2, Docker images, application processes and logs. Virtualization support must be enabled; if installed inside a VM, nested virtualization and enterprise hypervisor policy must permit WSL2. Installation requires an approved bot user and task-scheduler policy, WSL2/Docker Engine support, reliable writable local storage, signed offline package import and a fixed single-monitor display profile. Hardware minimums, OS builds and image sizes will be fixed from measured PoC results rather than guessed here.</w:t>
      </w:r>
    </w:p>
    <w:tbl>
      <w:tblPr>
        <w:tblStyle w:val="LightShading-Accent1"/>
        <w:tblW w:type="auto" w:w="0"/>
        <w:tblLayout w:type="autofit"/>
        <w:tblLook w:firstColumn="1" w:firstRow="1" w:lastColumn="0" w:lastRow="0" w:noHBand="0" w:noVBand="1" w:val="04A0"/>
      </w:tblPr>
      <w:tblGrid>
        <w:gridCol w:w="5040"/>
        <w:gridCol w:w="5040"/>
      </w:tblGrid>
      <w:tr>
        <w:trPr>
          <w:tblHeader w:val="true"/>
          <w:cantSplit/>
        </w:trPr>
        <w:tc>
          <w:tcPr>
            <w:tcW w:type="dxa" w:w="5040"/>
          </w:tcPr>
          <w:p>
            <w:r>
              <w:t>Prerequisite</w:t>
            </w:r>
          </w:p>
        </w:tc>
        <w:tc>
          <w:tcPr>
            <w:tcW w:type="dxa" w:w="5040"/>
          </w:tcPr>
          <w:p>
            <w:r>
              <w:t>v1 requirement / verification</w:t>
            </w:r>
          </w:p>
        </w:tc>
      </w:tr>
      <w:tr>
        <w:trPr>
          <w:cantSplit/>
        </w:trPr>
        <w:tc>
          <w:tcPr>
            <w:tcW w:type="dxa" w:w="5040"/>
          </w:tcPr>
          <w:p>
            <w:r>
              <w:t>OS / WSL</w:t>
            </w:r>
          </w:p>
        </w:tc>
        <w:tc>
          <w:tcPr>
            <w:tcW w:type="dxa" w:w="5040"/>
          </w:tcPr>
          <w:p>
            <w:r>
              <w:t>Publish a tested Windows build/edition and WSL version matrix; confirm WSL startup under scheduled bot identity.</w:t>
            </w:r>
          </w:p>
        </w:tc>
      </w:tr>
      <w:tr>
        <w:trPr>
          <w:cantSplit/>
        </w:trPr>
        <w:tc>
          <w:tcPr>
            <w:tcW w:type="dxa" w:w="5040"/>
          </w:tcPr>
          <w:p>
            <w:r>
              <w:t>Virtualization</w:t>
            </w:r>
          </w:p>
        </w:tc>
        <w:tc>
          <w:tcPr>
            <w:tcW w:type="dxa" w:w="5040"/>
          </w:tcPr>
          <w:p>
            <w:r>
              <w:t>WSL2 capability enabled; nested virtualization available when bot host is itself a VM.</w:t>
            </w:r>
          </w:p>
        </w:tc>
      </w:tr>
      <w:tr>
        <w:trPr>
          <w:cantSplit/>
        </w:trPr>
        <w:tc>
          <w:tcPr>
            <w:tcW w:type="dxa" w:w="5040"/>
          </w:tcPr>
          <w:p>
            <w:r>
              <w:t>Persistence / power</w:t>
            </w:r>
          </w:p>
        </w:tc>
        <w:tc>
          <w:tcPr>
            <w:tcW w:type="dxa" w:w="5040"/>
          </w:tcPr>
          <w:p>
            <w:r>
              <w:t>Non-resetting Windows profile and WSL filesystem; defined reboot/recovery and disk free-space safeguards.</w:t>
            </w:r>
          </w:p>
        </w:tc>
      </w:tr>
      <w:tr>
        <w:trPr>
          <w:cantSplit/>
        </w:trPr>
        <w:tc>
          <w:tcPr>
            <w:tcW w:type="dxa" w:w="5040"/>
          </w:tcPr>
          <w:p>
            <w:r>
              <w:t>Resources</w:t>
            </w:r>
          </w:p>
        </w:tc>
        <w:tc>
          <w:tcPr>
            <w:tcW w:type="dxa" w:w="5040"/>
          </w:tcPr>
          <w:p>
            <w:r>
              <w:t>CPU/RAM/disk baseline measured and documented in PoC on representative ERP + WSL workloads.</w:t>
            </w:r>
          </w:p>
        </w:tc>
      </w:tr>
      <w:tr>
        <w:trPr>
          <w:cantSplit/>
        </w:trPr>
        <w:tc>
          <w:tcPr>
            <w:tcW w:type="dxa" w:w="5040"/>
          </w:tcPr>
          <w:p>
            <w:r>
              <w:t>Identity / policy</w:t>
            </w:r>
          </w:p>
        </w:tc>
        <w:tc>
          <w:tcPr>
            <w:tcW w:type="dxa" w:w="5040"/>
          </w:tcPr>
          <w:p>
            <w:r>
              <w:t>Dedicated bot account, task logon authorization, interactive session permission and explicit credential-risk acceptance.</w:t>
            </w:r>
          </w:p>
        </w:tc>
      </w:tr>
      <w:tr>
        <w:trPr>
          <w:cantSplit/>
        </w:trPr>
        <w:tc>
          <w:tcPr>
            <w:tcW w:type="dxa" w:w="5040"/>
          </w:tcPr>
          <w:p>
            <w:r>
              <w:t>Display / application</w:t>
            </w:r>
          </w:p>
        </w:tc>
        <w:tc>
          <w:tcPr>
            <w:tcW w:type="dxa" w:w="5040"/>
          </w:tcPr>
          <w:p>
            <w:r>
              <w:t>Single monitor, fixed resolution/DPI and target app installed within the executor session.</w:t>
            </w:r>
          </w:p>
        </w:tc>
      </w:tr>
      <w:tr>
        <w:trPr>
          <w:cantSplit/>
        </w:trPr>
        <w:tc>
          <w:tcPr>
            <w:tcW w:type="dxa" w:w="5040"/>
          </w:tcPr>
          <w:p>
            <w:r>
              <w:t>Software delivery</w:t>
            </w:r>
          </w:p>
        </w:tc>
        <w:tc>
          <w:tcPr>
            <w:tcW w:type="dxa" w:w="5040"/>
          </w:tcPr>
          <w:p>
            <w:r>
              <w:t>Signed offline installation + separate signed script packages, integrity verification and version compatibility checks.</w:t>
            </w:r>
          </w:p>
        </w:tc>
      </w:tr>
    </w:tbl>
    <w:p>
      <w:pPr>
        <w:pStyle w:val="Heading2"/>
      </w:pPr>
      <w:r>
        <w:t>9.3 Product/install topology</w:t>
      </w:r>
    </w:p>
    <w:tbl>
      <w:tblPr>
        <w:tblStyle w:val="TableGrid"/>
        <w:tblW w:type="auto" w:w="0"/>
        <w:jc w:val="center"/>
        <w:tblLayout w:type="fixed"/>
        <w:tblLook w:firstColumn="1" w:firstRow="1" w:lastColumn="0" w:lastRow="0" w:noHBand="0" w:noVBand="1" w:val="04A0"/>
      </w:tblPr>
      <w:tblGrid>
        <w:gridCol w:w="2232"/>
        <w:gridCol w:w="3686"/>
        <w:gridCol w:w="3730"/>
      </w:tblGrid>
      <w:tr>
        <w:trPr>
          <w:tblHeader w:val="true"/>
          <w:tblHeader w:val="true"/>
          <w:cantSplit/>
        </w:trPr>
        <w:tc>
          <w:tcPr>
            <w:tcW w:type="dxa" w:w="3360"/>
            <w:shd w:fill="15354F"/>
            <w:tcMar>
              <w:top w:w="80" w:type="dxa"/>
              <w:bottom w:w="80" w:type="dxa"/>
              <w:left w:w="95" w:type="dxa"/>
              <w:right w:w="95" w:type="dxa"/>
            </w:tcMar>
          </w:tcPr>
          <w:p>
            <w:r>
              <w:rPr>
                <w:b/>
                <w:color w:val="FFFFFF"/>
                <w:sz w:val="16"/>
              </w:rPr>
              <w:t>Location</w:t>
            </w:r>
          </w:p>
        </w:tc>
        <w:tc>
          <w:tcPr>
            <w:tcW w:type="dxa" w:w="3360"/>
            <w:shd w:fill="15354F"/>
            <w:tcMar>
              <w:top w:w="80" w:type="dxa"/>
              <w:bottom w:w="80" w:type="dxa"/>
              <w:left w:w="95" w:type="dxa"/>
              <w:right w:w="95" w:type="dxa"/>
            </w:tcMar>
          </w:tcPr>
          <w:p>
            <w:r>
              <w:rPr>
                <w:b/>
                <w:color w:val="FFFFFF"/>
                <w:sz w:val="16"/>
              </w:rPr>
              <w:t>Connected</w:t>
            </w:r>
          </w:p>
        </w:tc>
        <w:tc>
          <w:tcPr>
            <w:tcW w:type="dxa" w:w="3360"/>
            <w:shd w:fill="15354F"/>
            <w:tcMar>
              <w:top w:w="80" w:type="dxa"/>
              <w:bottom w:w="80" w:type="dxa"/>
              <w:left w:w="95" w:type="dxa"/>
              <w:right w:w="95" w:type="dxa"/>
            </w:tcMar>
          </w:tcPr>
          <w:p>
            <w:r>
              <w:rPr>
                <w:b/>
                <w:color w:val="FFFFFF"/>
                <w:sz w:val="16"/>
              </w:rPr>
              <w:t>Isolated</w:t>
            </w:r>
          </w:p>
        </w:tc>
      </w:tr>
      <w:tr>
        <w:trPr>
          <w:cantSplit/>
          <w:cantSplit/>
        </w:trPr>
        <w:tc>
          <w:tcPr>
            <w:tcW w:type="dxa" w:w="2232"/>
            <w:vAlign w:val="center"/>
            <w:tcMar>
              <w:top w:w="80" w:type="dxa"/>
              <w:bottom w:w="80" w:type="dxa"/>
              <w:left w:w="95" w:type="dxa"/>
              <w:right w:w="95" w:type="dxa"/>
            </w:tcMar>
          </w:tcPr>
          <w:p>
            <w:pPr>
              <w:spacing w:after="0" w:line="240" w:lineRule="auto"/>
            </w:pPr>
            <w:r>
              <w:rPr>
                <w:color w:val="15354F"/>
                <w:sz w:val="15"/>
              </w:rPr>
              <w:t>Designer</w:t>
            </w:r>
          </w:p>
        </w:tc>
        <w:tc>
          <w:tcPr>
            <w:tcW w:type="dxa" w:w="3686"/>
            <w:vAlign w:val="center"/>
            <w:tcMar>
              <w:top w:w="80" w:type="dxa"/>
              <w:bottom w:w="80" w:type="dxa"/>
              <w:left w:w="95" w:type="dxa"/>
              <w:right w:w="95" w:type="dxa"/>
            </w:tcMar>
          </w:tcPr>
          <w:p>
            <w:pPr>
              <w:spacing w:after="0" w:line="240" w:lineRule="auto"/>
            </w:pPr>
            <w:r>
              <w:rPr>
                <w:color w:val="15354F"/>
                <w:sz w:val="15"/>
              </w:rPr>
              <w:t>Windows workstation; may be separate from bot host</w:t>
            </w:r>
          </w:p>
        </w:tc>
        <w:tc>
          <w:tcPr>
            <w:tcW w:type="dxa" w:w="3730"/>
            <w:vAlign w:val="center"/>
            <w:tcMar>
              <w:top w:w="80" w:type="dxa"/>
              <w:bottom w:w="80" w:type="dxa"/>
              <w:left w:w="95" w:type="dxa"/>
              <w:right w:w="95" w:type="dxa"/>
            </w:tcMar>
          </w:tcPr>
          <w:p>
            <w:pPr>
              <w:spacing w:after="0" w:line="240" w:lineRule="auto"/>
            </w:pPr>
            <w:r>
              <w:rPr>
                <w:color w:val="15354F"/>
                <w:sz w:val="15"/>
              </w:rPr>
              <w:t>Windows workstation/host</w:t>
            </w:r>
          </w:p>
        </w:tc>
      </w:tr>
      <w:tr>
        <w:trPr>
          <w:cantSplit/>
          <w:cantSplit/>
        </w:trPr>
        <w:tc>
          <w:tcPr>
            <w:tcW w:type="dxa" w:w="2232"/>
            <w:vAlign w:val="center"/>
            <w:tcMar>
              <w:top w:w="80" w:type="dxa"/>
              <w:bottom w:w="80" w:type="dxa"/>
              <w:left w:w="95" w:type="dxa"/>
              <w:right w:w="95" w:type="dxa"/>
            </w:tcMar>
            <w:shd w:fill="F6F8FA"/>
          </w:tcPr>
          <w:p>
            <w:pPr>
              <w:spacing w:after="0" w:line="240" w:lineRule="auto"/>
            </w:pPr>
            <w:r>
              <w:rPr>
                <w:color w:val="15354F"/>
                <w:sz w:val="15"/>
              </w:rPr>
              <w:t>Runtime supervisor</w:t>
            </w:r>
          </w:p>
        </w:tc>
        <w:tc>
          <w:tcPr>
            <w:tcW w:type="dxa" w:w="3686"/>
            <w:vAlign w:val="center"/>
            <w:tcMar>
              <w:top w:w="80" w:type="dxa"/>
              <w:bottom w:w="80" w:type="dxa"/>
              <w:left w:w="95" w:type="dxa"/>
              <w:right w:w="95" w:type="dxa"/>
            </w:tcMar>
            <w:shd w:fill="F6F8FA"/>
          </w:tcPr>
          <w:p>
            <w:pPr>
              <w:spacing w:after="0" w:line="240" w:lineRule="auto"/>
            </w:pPr>
            <w:r>
              <w:rPr>
                <w:color w:val="15354F"/>
                <w:sz w:val="15"/>
              </w:rPr>
              <w:t>Windows host as required by deployment</w:t>
            </w:r>
          </w:p>
        </w:tc>
        <w:tc>
          <w:tcPr>
            <w:tcW w:type="dxa" w:w="3730"/>
            <w:vAlign w:val="center"/>
            <w:tcMar>
              <w:top w:w="80" w:type="dxa"/>
              <w:bottom w:w="80" w:type="dxa"/>
              <w:left w:w="95" w:type="dxa"/>
              <w:right w:w="95" w:type="dxa"/>
            </w:tcMar>
            <w:shd w:fill="F6F8FA"/>
          </w:tcPr>
          <w:p>
            <w:pPr>
              <w:spacing w:after="0" w:line="240" w:lineRule="auto"/>
            </w:pPr>
            <w:r>
              <w:rPr>
                <w:color w:val="15354F"/>
                <w:sz w:val="15"/>
              </w:rPr>
              <w:t>Windows host; boot-time task under bot user</w:t>
            </w:r>
          </w:p>
        </w:tc>
      </w:tr>
      <w:tr>
        <w:trPr>
          <w:cantSplit/>
          <w:cantSplit/>
        </w:trPr>
        <w:tc>
          <w:tcPr>
            <w:tcW w:type="dxa" w:w="2232"/>
            <w:vAlign w:val="center"/>
            <w:tcMar>
              <w:top w:w="80" w:type="dxa"/>
              <w:bottom w:w="80" w:type="dxa"/>
              <w:left w:w="95" w:type="dxa"/>
              <w:right w:w="95" w:type="dxa"/>
            </w:tcMar>
          </w:tcPr>
          <w:p>
            <w:pPr>
              <w:spacing w:after="0" w:line="240" w:lineRule="auto"/>
            </w:pPr>
            <w:r>
              <w:rPr>
                <w:color w:val="15354F"/>
                <w:sz w:val="15"/>
              </w:rPr>
              <w:t>Runtime interactive executor</w:t>
            </w:r>
          </w:p>
        </w:tc>
        <w:tc>
          <w:tcPr>
            <w:tcW w:type="dxa" w:w="3686"/>
            <w:vAlign w:val="center"/>
            <w:tcMar>
              <w:top w:w="80" w:type="dxa"/>
              <w:bottom w:w="80" w:type="dxa"/>
              <w:left w:w="95" w:type="dxa"/>
              <w:right w:w="95" w:type="dxa"/>
            </w:tcMar>
          </w:tcPr>
          <w:p>
            <w:pPr>
              <w:spacing w:after="0" w:line="240" w:lineRule="auto"/>
            </w:pPr>
            <w:r>
              <w:rPr>
                <w:color w:val="15354F"/>
                <w:sz w:val="15"/>
              </w:rPr>
              <w:t>Authorized Windows user session</w:t>
            </w:r>
          </w:p>
        </w:tc>
        <w:tc>
          <w:tcPr>
            <w:tcW w:type="dxa" w:w="3730"/>
            <w:vAlign w:val="center"/>
            <w:tcMar>
              <w:top w:w="80" w:type="dxa"/>
              <w:bottom w:w="80" w:type="dxa"/>
              <w:left w:w="95" w:type="dxa"/>
              <w:right w:w="95" w:type="dxa"/>
            </w:tcMar>
          </w:tcPr>
          <w:p>
            <w:pPr>
              <w:spacing w:after="0" w:line="240" w:lineRule="auto"/>
            </w:pPr>
            <w:r>
              <w:rPr>
                <w:color w:val="15354F"/>
                <w:sz w:val="15"/>
              </w:rPr>
              <w:t>Authorized Windows bot-user session</w:t>
            </w:r>
          </w:p>
        </w:tc>
      </w:tr>
      <w:tr>
        <w:trPr>
          <w:cantSplit/>
          <w:cantSplit/>
        </w:trPr>
        <w:tc>
          <w:tcPr>
            <w:tcW w:type="dxa" w:w="2232"/>
            <w:vAlign w:val="center"/>
            <w:tcMar>
              <w:top w:w="80" w:type="dxa"/>
              <w:bottom w:w="80" w:type="dxa"/>
              <w:left w:w="95" w:type="dxa"/>
              <w:right w:w="95" w:type="dxa"/>
            </w:tcMar>
            <w:shd w:fill="F6F8FA"/>
          </w:tcPr>
          <w:p>
            <w:pPr>
              <w:spacing w:after="0" w:line="240" w:lineRule="auto"/>
            </w:pPr>
            <w:r>
              <w:rPr>
                <w:color w:val="15354F"/>
                <w:sz w:val="15"/>
              </w:rPr>
              <w:t>Orchestrator</w:t>
            </w:r>
          </w:p>
        </w:tc>
        <w:tc>
          <w:tcPr>
            <w:tcW w:type="dxa" w:w="3686"/>
            <w:vAlign w:val="center"/>
            <w:tcMar>
              <w:top w:w="80" w:type="dxa"/>
              <w:bottom w:w="80" w:type="dxa"/>
              <w:left w:w="95" w:type="dxa"/>
              <w:right w:w="95" w:type="dxa"/>
            </w:tcMar>
            <w:shd w:fill="F6F8FA"/>
          </w:tcPr>
          <w:p>
            <w:pPr>
              <w:spacing w:after="0" w:line="240" w:lineRule="auto"/>
            </w:pPr>
            <w:r>
              <w:rPr>
                <w:color w:val="15354F"/>
                <w:sz w:val="15"/>
              </w:rPr>
              <w:t>.NET Linux container, central Docker/Kubernetes</w:t>
            </w:r>
          </w:p>
        </w:tc>
        <w:tc>
          <w:tcPr>
            <w:tcW w:type="dxa" w:w="3730"/>
            <w:vAlign w:val="center"/>
            <w:tcMar>
              <w:top w:w="80" w:type="dxa"/>
              <w:bottom w:w="80" w:type="dxa"/>
              <w:left w:w="95" w:type="dxa"/>
              <w:right w:w="95" w:type="dxa"/>
            </w:tcMar>
            <w:shd w:fill="F6F8FA"/>
          </w:tcPr>
          <w:p>
            <w:pPr>
              <w:spacing w:after="0" w:line="240" w:lineRule="auto"/>
            </w:pPr>
            <w:r>
              <w:rPr>
                <w:color w:val="15354F"/>
                <w:sz w:val="15"/>
              </w:rPr>
              <w:t>.NET Linux container, local Docker Engine in WSL2</w:t>
            </w:r>
          </w:p>
        </w:tc>
      </w:tr>
      <w:tr>
        <w:trPr>
          <w:cantSplit/>
          <w:cantSplit/>
        </w:trPr>
        <w:tc>
          <w:tcPr>
            <w:tcW w:type="dxa" w:w="2232"/>
            <w:vAlign w:val="center"/>
            <w:tcMar>
              <w:top w:w="80" w:type="dxa"/>
              <w:bottom w:w="80" w:type="dxa"/>
              <w:left w:w="95" w:type="dxa"/>
              <w:right w:w="95" w:type="dxa"/>
            </w:tcMar>
          </w:tcPr>
          <w:p>
            <w:pPr>
              <w:spacing w:after="0" w:line="240" w:lineRule="auto"/>
            </w:pPr>
            <w:r>
              <w:rPr>
                <w:color w:val="15354F"/>
                <w:sz w:val="15"/>
              </w:rPr>
              <w:t>Business APIs</w:t>
            </w:r>
          </w:p>
        </w:tc>
        <w:tc>
          <w:tcPr>
            <w:tcW w:type="dxa" w:w="3686"/>
            <w:vAlign w:val="center"/>
            <w:tcMar>
              <w:top w:w="80" w:type="dxa"/>
              <w:bottom w:w="80" w:type="dxa"/>
              <w:left w:w="95" w:type="dxa"/>
              <w:right w:w="95" w:type="dxa"/>
            </w:tcMar>
          </w:tcPr>
          <w:p>
            <w:pPr>
              <w:spacing w:after="0" w:line="240" w:lineRule="auto"/>
            </w:pPr>
            <w:r>
              <w:rPr>
                <w:color w:val="15354F"/>
                <w:sz w:val="15"/>
              </w:rPr>
              <w:t>Independent reachable external services</w:t>
            </w:r>
          </w:p>
        </w:tc>
        <w:tc>
          <w:tcPr>
            <w:tcW w:type="dxa" w:w="3730"/>
            <w:vAlign w:val="center"/>
            <w:tcMar>
              <w:top w:w="80" w:type="dxa"/>
              <w:bottom w:w="80" w:type="dxa"/>
              <w:left w:w="95" w:type="dxa"/>
              <w:right w:w="95" w:type="dxa"/>
            </w:tcMar>
          </w:tcPr>
          <w:p>
            <w:pPr>
              <w:spacing w:after="0" w:line="240" w:lineRule="auto"/>
            </w:pPr>
            <w:r>
              <w:rPr>
                <w:color w:val="15354F"/>
                <w:sz w:val="15"/>
              </w:rPr>
              <w:t>Independent local/container services or permitted endpoints</w:t>
            </w:r>
          </w:p>
        </w:tc>
      </w:tr>
      <w:tr>
        <w:trPr>
          <w:cantSplit/>
          <w:cantSplit/>
        </w:trPr>
        <w:tc>
          <w:tcPr>
            <w:tcW w:type="dxa" w:w="2232"/>
            <w:vAlign w:val="center"/>
            <w:tcMar>
              <w:top w:w="80" w:type="dxa"/>
              <w:bottom w:w="80" w:type="dxa"/>
              <w:left w:w="95" w:type="dxa"/>
              <w:right w:w="95" w:type="dxa"/>
            </w:tcMar>
            <w:shd w:fill="F6F8FA"/>
          </w:tcPr>
          <w:p>
            <w:pPr>
              <w:spacing w:after="0" w:line="240" w:lineRule="auto"/>
            </w:pPr>
            <w:r>
              <w:rPr>
                <w:color w:val="15354F"/>
                <w:sz w:val="15"/>
              </w:rPr>
              <w:t>Secrets</w:t>
            </w:r>
          </w:p>
        </w:tc>
        <w:tc>
          <w:tcPr>
            <w:tcW w:type="dxa" w:w="3686"/>
            <w:vAlign w:val="center"/>
            <w:tcMar>
              <w:top w:w="80" w:type="dxa"/>
              <w:bottom w:w="80" w:type="dxa"/>
              <w:left w:w="95" w:type="dxa"/>
              <w:right w:w="95" w:type="dxa"/>
            </w:tcMar>
            <w:shd w:fill="F6F8FA"/>
          </w:tcPr>
          <w:p>
            <w:pPr>
              <w:spacing w:after="0" w:line="240" w:lineRule="auto"/>
            </w:pPr>
            <w:r>
              <w:rPr>
                <w:color w:val="15354F"/>
                <w:sz w:val="15"/>
              </w:rPr>
              <w:t>Authorized enterprise vault via Windows Runtime</w:t>
            </w:r>
          </w:p>
        </w:tc>
        <w:tc>
          <w:tcPr>
            <w:tcW w:type="dxa" w:w="3730"/>
            <w:vAlign w:val="center"/>
            <w:tcMar>
              <w:top w:w="80" w:type="dxa"/>
              <w:bottom w:w="80" w:type="dxa"/>
              <w:left w:w="95" w:type="dxa"/>
              <w:right w:w="95" w:type="dxa"/>
            </w:tcMar>
            <w:shd w:fill="F6F8FA"/>
          </w:tcPr>
          <w:p>
            <w:pPr>
              <w:spacing w:after="0" w:line="240" w:lineRule="auto"/>
            </w:pPr>
            <w:r>
              <w:rPr>
                <w:color w:val="15354F"/>
                <w:sz w:val="15"/>
              </w:rPr>
              <w:t>DPAPI CurrentUser through Windows Runtime; business containers own theirs</w:t>
            </w:r>
          </w:p>
        </w:tc>
      </w:tr>
      <w:tr>
        <w:trPr>
          <w:cantSplit/>
          <w:cantSplit/>
        </w:trPr>
        <w:tc>
          <w:tcPr>
            <w:tcW w:type="dxa" w:w="2232"/>
            <w:vAlign w:val="center"/>
            <w:tcMar>
              <w:top w:w="80" w:type="dxa"/>
              <w:bottom w:w="80" w:type="dxa"/>
              <w:left w:w="95" w:type="dxa"/>
              <w:right w:w="95" w:type="dxa"/>
            </w:tcMar>
          </w:tcPr>
          <w:p>
            <w:pPr>
              <w:spacing w:after="0" w:line="240" w:lineRule="auto"/>
            </w:pPr>
            <w:r>
              <w:rPr>
                <w:color w:val="15354F"/>
                <w:sz w:val="15"/>
              </w:rPr>
              <w:t>Job dispatch</w:t>
            </w:r>
          </w:p>
        </w:tc>
        <w:tc>
          <w:tcPr>
            <w:tcW w:type="dxa" w:w="3686"/>
            <w:vAlign w:val="center"/>
            <w:tcMar>
              <w:top w:w="80" w:type="dxa"/>
              <w:bottom w:w="80" w:type="dxa"/>
              <w:left w:w="95" w:type="dxa"/>
              <w:right w:w="95" w:type="dxa"/>
            </w:tcMar>
          </w:tcPr>
          <w:p>
            <w:pPr>
              <w:spacing w:after="0" w:line="240" w:lineRule="auto"/>
            </w:pPr>
            <w:r>
              <w:rPr>
                <w:color w:val="15354F"/>
                <w:sz w:val="15"/>
              </w:rPr>
              <w:t>Outbound Runtime pull over network</w:t>
            </w:r>
          </w:p>
        </w:tc>
        <w:tc>
          <w:tcPr>
            <w:tcW w:type="dxa" w:w="3730"/>
            <w:vAlign w:val="center"/>
            <w:tcMar>
              <w:top w:w="80" w:type="dxa"/>
              <w:bottom w:w="80" w:type="dxa"/>
              <w:left w:w="95" w:type="dxa"/>
              <w:right w:w="95" w:type="dxa"/>
            </w:tcMar>
          </w:tcPr>
          <w:p>
            <w:pPr>
              <w:spacing w:after="0" w:line="240" w:lineRule="auto"/>
            </w:pPr>
            <w:r>
              <w:rPr>
                <w:color w:val="15354F"/>
                <w:sz w:val="15"/>
              </w:rPr>
              <w:t>Same outbound Runtime pull over localhost</w:t>
            </w:r>
          </w:p>
        </w:tc>
      </w:tr>
    </w:tbl>
    <w:p>
      <w:pPr>
        <w:spacing w:after="0"/>
      </w:pPr>
    </w:p>
    <w:p>
      <w:pPr>
        <w:pStyle w:val="Heading2"/>
      </w:pPr>
      <w:r>
        <w:t>9.4 Certified desktop execution scope</w:t>
      </w:r>
    </w:p>
    <w:p>
      <w:r>
        <w:t>v1 assumes that the Runtime is installed inside the same supported Windows interactive session where the application is accessible. This includes a virtual desktop when the bot itself runs inside that desktop; it excludes pixel-only remote UI automation from outside the session. A fixed resolution and DPI and one monitor are the certified baseline. Applications inaccessible through supported UIA/Java/keyboard/control-relative techniques must appear on the published unsupported-app list. If Tracto cannot be installed in the environment, it is unsupported.</w:t>
      </w:r>
    </w:p>
    <w:p>
      <w:pPr>
        <w:pStyle w:val="Heading2"/>
      </w:pPr>
      <w:r>
        <w:t>9.5 Authoring and importing automations in isolated environments</w:t>
      </w:r>
    </w:p>
    <w:p>
      <w:pPr/>
      <w:r>
        <w:t>An isolated application may be accessible only on the disconnected host. The local Designer must therefore support recording and deterministic replay without internet or an AI service. Where policy permits, an operator can export an approved sanitized recording for AI-assisted authoring on a separate connected workstation; alternatively, the script can be authored and reviewed entirely offline. The result is returned as a signed automation package and imported into the local artifact registry. No direct AI/cloud dependency exists for isolated execution.</w:t>
      </w:r>
    </w:p>
    <w:p>
      <w:pPr/>
      <w:r>
        <w:t>Signed script package import checks signer trust, manifest, artifact hash, schemaVersion/current-or-previous-major compatibility, policy allowlists, target-runtime capabilities, declared endpoint references and local dependencies. Import is audited and requires authorized approval before scheduling. Script packages are distinct from the signed offline installer/container-image bundle; an imported package never dynamically installs executables or supplies executable arbitrary business code.</w:t>
      </w:r>
    </w:p>
    <w:p>
      <w:pPr>
        <w:pStyle w:val="Heading1"/>
      </w:pPr>
      <w:r>
        <w:t>10. Unattended identity and isolated secret design</w:t>
      </w:r>
    </w:p>
    <w:p>
      <w:pPr>
        <w:pStyle w:val="Heading2"/>
      </w:pPr>
      <w:r>
        <w:t>10.1 AD-13 two-process identity model</w:t>
      </w:r>
    </w:p>
    <w:p>
      <w:r>
        <w:t>In isolated mode, the Windows Runtime Host Supervisor is started at Windows boot by a Task Scheduler task configured under the dedicated bot Windows identity with “run whether user is logged on or not” using a password-backed logon. It starts/monitors the bot-user WSL distribution, Docker Engine and the Orchestrator. Independently installed headless Browser and Terminal workers can run under an authorized noninteractive context; a Desktop worker or headed Browser executor runs only in an authorized interactive Windows session. Each worker initiates outbound job pull/heartbeat independently. None of these processes constitutes a fourth Tracto product component.</w:t>
      </w:r>
    </w:p>
    <w:p>
      <w:r>
        <w:t>Task Scheduler stores an OS-protected bot identity credential for unattended logon. This is an explicitly accepted security exposure, not a claim of zero stored credentials. S4U/no-stored-password task modes are not assumed to provide access to encrypted files or required network resources. The final task settings, actual Windows identity, WSL registration visibility, user-profile loading and DPAPI accessibility must be demonstrated in PoC, not inferred from API behavior.</w:t>
      </w:r>
    </w:p>
    <w:p>
      <w:r>
        <w:t>The Supervisor staying alive does not itself create a Windows interactive desktop. Candidate A for PoC is a policy-compliant loopback/controlled RDP session on a supported Windows Server configuration (verify edition, licensing, logon rights, session lifetime and security); it is not an approved production mechanism. Candidate B is explicitly customer-approved auto-logon with a restricted dedicated bot identity and compensating controls; auto-logon remains excluded by default. A custom credential provider is deferred unless the PoC requires it. If no compliant automatic session mechanism passes, operator login is a degraded supported mode, not evidence of unattended recovery. Connected-mode creation has the analogous POC-10 gate. A signed-off session lifecycle choice is required before either mode is advertised as fully unattended.</w:t>
      </w:r>
    </w:p>
    <w:p>
      <w:pPr>
        <w:pStyle w:val="Heading2"/>
      </w:pPr>
      <w:r>
        <w:t>10.2 AD-14 Windows-only Tracto secret resolution</w:t>
      </w:r>
    </w:p>
    <w:p>
      <w:r>
        <w:t>The isolated Tracto local secret provider uses Windows DPAPI in CurrentUser scope, bound to the bot user identity. Scripts and the Linux Orchestrator carry opaque `secretRef` values only. The authorized Windows Runtime resolves a reference just before it needs to authenticate to an application or call an external business API, minimizes the plaintext lifetime, and must not serialize secret values into Orchestrator requests, WSL volumes, Docker environment variables, scripts, logs or telemetry.</w:t>
      </w:r>
    </w:p>
    <w:p>
      <w:r>
        <w:t>The Runtime may transmit a credential or token directly to the intended authenticated external business endpoint as part of the approved API protocol; “no secret crosses the Windows/Linux boundary” means no secret is handed to Tracto’s Linux control plane or local container storage. Business services running in containers independently own their application and database credentials, using their own management mechanism; these are outside Tracto.</w:t>
      </w:r>
    </w:p>
    <w:p>
      <w:pPr>
        <w:pStyle w:val="Heading2"/>
      </w:pPr>
      <w:r>
        <w:t>10.3 Password change and reset procedures</w:t>
      </w:r>
    </w:p>
    <w:p>
      <w:pPr>
        <w:pStyle w:val="ListBullet"/>
      </w:pPr>
      <w:r>
        <w:t>Normal user-initiated password change: validate that existing CurrentUser secrets remain readable and update the Task Scheduler saved credential as necessary.</w:t>
      </w:r>
    </w:p>
    <w:p>
      <w:pPr>
        <w:pStyle w:val="ListBullet"/>
      </w:pPr>
      <w:r>
        <w:t>Administrator password reset: assume some previous user-scoped DPAPI material may become unreadable; restore secret access by authorized re-provisioning (or supported domain recovery where available).</w:t>
      </w:r>
    </w:p>
    <w:p>
      <w:pPr>
        <w:pStyle w:val="ListBullet"/>
      </w:pPr>
      <w:r>
        <w:t>Re-provisioning: update bot account credentials, repair/re-register the boot task, securely re-enter/reseal all required local secretRefs, test one authorized API/app login, confirm Orchestrator and Runtime recovery, document audit evidence.</w:t>
      </w:r>
    </w:p>
    <w:p>
      <w:pPr>
        <w:pStyle w:val="ListBullet"/>
      </w:pPr>
      <w:r>
        <w:t>Do not rely on machine-scope DPAPI as a transparent substitute for the CurrentUser security decision; it changes who on the machine may be able to decrypt.</w:t>
      </w:r>
    </w:p>
    <w:p>
      <w:pPr>
        <w:pStyle w:val="Heading1"/>
      </w:pPr>
      <w:r>
        <w:t>11. Reliability, security and observability</w:t>
      </w:r>
    </w:p>
    <w:p>
      <w:pPr>
        <w:pStyle w:val="Heading2"/>
      </w:pPr>
      <w:r>
        <w:t>11.1 Correctness invariants</w:t>
      </w:r>
    </w:p>
    <w:p>
      <w:pPr>
        <w:pStyle w:val="ListBullet"/>
      </w:pPr>
      <w:r>
        <w:t>One active job per worker in v1. Acquire an exclusive input/session lease before desktop actions; release input devices and leases after any terminal outcome.</w:t>
      </w:r>
    </w:p>
    <w:p>
      <w:pPr>
        <w:pStyle w:val="ListBullet"/>
      </w:pPr>
      <w:r>
        <w:t>Run result is never reported successful merely because a click or API POST was sent; success must have a defined observable postcondition or authoritative acknowledgement.</w:t>
      </w:r>
    </w:p>
    <w:p>
      <w:pPr>
        <w:pStyle w:val="ListBullet"/>
      </w:pPr>
      <w:r>
        <w:t>After a control-plane restart, never blindly duplicate a desktop job. Reconcile run/attempt identifiers and action journal; mark uncertain irreversible outcomes UNKNOWN.</w:t>
      </w:r>
    </w:p>
    <w:p>
      <w:pPr>
        <w:pStyle w:val="ListBullet"/>
      </w:pPr>
      <w:r>
        <w:t>A business-service acceptance acknowledgement is not equivalent to completed processing; a business result is not equivalent to a completed UI update.</w:t>
      </w:r>
    </w:p>
    <w:p>
      <w:pPr>
        <w:pStyle w:val="ListBullet"/>
      </w:pPr>
      <w:r>
        <w:t>Retries are bounded and depend on operation-level idempotency; business compensations remain the external service owner’s responsibility.</w:t>
      </w:r>
    </w:p>
    <w:p>
      <w:pPr>
        <w:pStyle w:val="Heading2"/>
      </w:pPr>
      <w:r>
        <w:t>11.2 Security controls</w:t>
      </w:r>
    </w:p>
    <w:p>
      <w:pPr>
        <w:pStyle w:val="ListBullet"/>
      </w:pPr>
      <w:r>
        <w:t>Signed published scripts and signed offline bundles; trust validation before load, rollback and integrity checks.</w:t>
      </w:r>
    </w:p>
    <w:p>
      <w:pPr>
        <w:pStyle w:val="ListBullet"/>
      </w:pPr>
      <w:r>
        <w:t>Least-privilege dedicated bot identity, policy-allowlisted applications, API destinations and terminal commands; no UAC bypass.</w:t>
      </w:r>
    </w:p>
    <w:p>
      <w:pPr>
        <w:pStyle w:val="ListBullet"/>
      </w:pPr>
      <w:r>
        <w:t>Strong authentication on the outbound pull path; signed/HMAC-authenticated callback envelope includes key identifier, timestamp/nonce and replay-window validation. The Orchestrator deduplicates events and resolves the continuation internally using correlation, never accepting a script selector supplied by the business service.</w:t>
      </w:r>
    </w:p>
    <w:p>
      <w:pPr>
        <w:pStyle w:val="ListBullet"/>
      </w:pPr>
      <w:r>
        <w:t>No secret, token or sensitive screenshot text is exposed through logs, transcripts, AI prompts, diagnostics or container-mounted state.</w:t>
      </w:r>
    </w:p>
    <w:p>
      <w:pPr>
        <w:pStyle w:val="ListBullet"/>
      </w:pPr>
      <w:r>
        <w:t>Explicit application-support matrix and recorded limitations; no hidden image/OCR/coordinate fallback beyond permitted control-relative targeting.</w:t>
      </w:r>
    </w:p>
    <w:p>
      <w:pPr>
        <w:pStyle w:val="Heading2"/>
      </w:pPr>
      <w:r>
        <w:t>11.3 Telemetry and evidence</w:t>
      </w:r>
    </w:p>
    <w:p>
      <w:r>
        <w:t>Use OpenTelemetry-style structured log, trace and event fields: timestamp, machine/worker ID, session identity reference, runId, attemptId, actionId, script version, correlationId, businessJobId (when present), status, duration, outcome category and evidenceRef. Connected mode exports telemetry to the customer’s existing monitoring stack; isolated mode stores locally with bounded retention and explicit export-on-demand. Telemetry must not become a copy of business databases.</w:t>
      </w:r>
    </w:p>
    <w:p>
      <w:pPr/>
      <w:r>
        <w:t>A single trace context links Designer publication, Orchestrator lease/attempt, Executor actions and external API request/callback by correlationId, runId and businessJobId. The Orchestrator holds durable status and evidence references; Windows Runtime journals hold local action checkpoints used for recovery. In connected mode export through the customer-approved collector; in isolated mode use bounded local retention and signed/exportable diagnostic bundles. Domain payloads and secrets must not be copied into telemetry.</w:t>
      </w:r>
    </w:p>
    <w:p>
      <w:pPr>
        <w:pStyle w:val="Heading1"/>
      </w:pPr>
      <w:r>
        <w:t>12. End-to-end demonstration flows</w:t>
      </w:r>
    </w:p>
    <w:p>
      <w:pPr>
        <w:pStyle w:val="Heading2"/>
      </w:pPr>
      <w:r>
        <w:t>12.1 Desktop + synchronous business API</w:t>
      </w:r>
    </w:p>
    <w:p>
      <w:pPr>
        <w:spacing w:after="80"/>
        <w:ind w:left="374" w:hanging="331"/>
      </w:pPr>
      <w:r>
        <w:t>1.  Designer records and publishes the approved ERP interaction script.</w:t>
      </w:r>
    </w:p>
    <w:p>
      <w:pPr>
        <w:spacing w:after="80"/>
        <w:ind w:left="374" w:hanging="331"/>
      </w:pPr>
      <w:r>
        <w:t>2.  Orchestrator schedules the run; Windows Runtime pulls and leases the job.</w:t>
      </w:r>
    </w:p>
    <w:p>
      <w:pPr>
        <w:spacing w:after="80"/>
        <w:ind w:left="374" w:hanging="331"/>
      </w:pPr>
      <w:r>
        <w:t>3.  Interactive Desktop engine opens ERP, locates an invoice and reads an authorized field.</w:t>
      </w:r>
    </w:p>
    <w:p>
      <w:pPr>
        <w:spacing w:after="80"/>
        <w:ind w:left="374" w:hanging="331"/>
      </w:pPr>
      <w:r>
        <w:t>4.  Runtime resolves `secretRef` on Windows and calls the independent service endpoint over the approved connection.</w:t>
      </w:r>
    </w:p>
    <w:p>
      <w:pPr>
        <w:spacing w:after="80"/>
        <w:ind w:left="374" w:hanging="331"/>
      </w:pPr>
      <w:r>
        <w:t>5.  Service performs the business validation and returns a structured accepted/rejected result.</w:t>
      </w:r>
    </w:p>
    <w:p>
      <w:pPr>
        <w:spacing w:after="80"/>
        <w:ind w:left="374" w:hanging="331"/>
      </w:pPr>
      <w:r>
        <w:t>6.  Runtime follows an allowlisted technical branch by API outcome/actionCode, displays the returned status as opaque content, asserts the UI state and records SUCCEEDED with `businessOutcome=ACCEPTED` or `businessOutcome=REJECTED` when the UI interaction succeeds.</w:t>
      </w:r>
    </w:p>
    <w:p>
      <w:pPr>
        <w:pStyle w:val="Heading2"/>
      </w:pPr>
      <w:r>
        <w:t>12.2 Asynchronous reconciliation</w:t>
      </w:r>
    </w:p>
    <w:p>
      <w:pPr>
        <w:spacing w:after="80"/>
        <w:ind w:left="374" w:hanging="331"/>
      </w:pPr>
      <w:r>
        <w:t>1.  Run A captures invoice identifier and submits an idempotent business-processing request.</w:t>
      </w:r>
    </w:p>
    <w:p>
      <w:pPr>
        <w:spacing w:after="80"/>
        <w:ind w:left="374" w:hanging="331"/>
      </w:pPr>
      <w:r>
        <w:t>2.  External service returns accepted + businessJobId; Run A records HANDED_OFF and releases the Windows session.</w:t>
      </w:r>
    </w:p>
    <w:p>
      <w:pPr>
        <w:spacing w:after="80"/>
        <w:ind w:left="374" w:hanging="331"/>
      </w:pPr>
      <w:r>
        <w:t>3.  External service performs reconciliation and persists business state independently.</w:t>
      </w:r>
    </w:p>
    <w:p>
      <w:pPr>
        <w:spacing w:after="80"/>
        <w:ind w:left="374" w:hanging="331"/>
      </w:pPr>
      <w:r>
        <w:t>4.  Authenticated completion event reaches Orchestrator with eventId, businessJobId and correlationId.</w:t>
      </w:r>
    </w:p>
    <w:p>
      <w:pPr>
        <w:spacing w:after="80"/>
        <w:ind w:left="374" w:hanging="331"/>
      </w:pPr>
      <w:r>
        <w:t>5.  Orchestrator validates/deduplicates and queues Run B.</w:t>
      </w:r>
    </w:p>
    <w:p>
      <w:pPr>
        <w:spacing w:after="80"/>
        <w:ind w:left="374" w:hanging="331"/>
      </w:pPr>
      <w:r>
        <w:t>6.  A Runtime worker picks up Run B, updates the ERP and separately reports UI outcome.</w:t>
      </w:r>
    </w:p>
    <w:p>
      <w:pPr>
        <w:pStyle w:val="Heading2"/>
      </w:pPr>
      <w:r>
        <w:t>12.3 Orchestrator restart during live Desktop run</w:t>
      </w:r>
    </w:p>
    <w:p>
      <w:pPr>
        <w:spacing w:after="80"/>
        <w:ind w:left="374" w:hanging="331"/>
      </w:pPr>
      <w:r>
        <w:t>1.  Worker holds an existing lease and persists local progress with runId/attemptId.</w:t>
      </w:r>
    </w:p>
    <w:p>
      <w:pPr>
        <w:spacing w:after="80"/>
        <w:ind w:left="374" w:hanging="331"/>
      </w:pPr>
      <w:r>
        <w:t>2.  Orchestrator container restarts while the interactive executor is mid-script.</w:t>
      </w:r>
    </w:p>
    <w:p>
      <w:pPr>
        <w:spacing w:after="80"/>
        <w:ind w:left="374" w:hanging="331"/>
      </w:pPr>
      <w:r>
        <w:t>3.  Worker preserves its local safe execution state and retries status reconciliation; it must not accept a duplicate attempt.</w:t>
      </w:r>
    </w:p>
    <w:p>
      <w:pPr>
        <w:spacing w:after="80"/>
        <w:ind w:left="374" w:hanging="331"/>
      </w:pPr>
      <w:r>
        <w:t>4.  After control-plane recovery, status is reconciled against worker journal and observed postconditions.</w:t>
      </w:r>
    </w:p>
    <w:p>
      <w:pPr>
        <w:spacing w:after="80"/>
        <w:ind w:left="374" w:hanging="331"/>
      </w:pPr>
      <w:r>
        <w:t>5.  A demonstrably completed job is recorded SUCCEEDED; an irreversible result that cannot be proven is UNKNOWN with a NEEDS_ATTENTION operator flag and is never silently replayed.</w:t>
      </w:r>
    </w:p>
    <w:p>
      <w:pPr>
        <w:pStyle w:val="Heading1"/>
      </w:pPr>
      <w:r>
        <w:t>13. Final architecture decision register (AD-01–AD-14)</w:t>
      </w:r>
    </w:p>
    <w:p>
      <w:r>
        <w:t>This section records the consolidated decisions accepted in the review discussion. Earlier v1.1 AR-01–AR-12 items were questions, not immutable decision identifiers; AD-01–AD-14 below are the new normative baseline. AD-13 and AD-14 are selected designs awaiting isolated-mode PoC validation.</w:t>
      </w:r>
    </w:p>
    <w:tbl>
      <w:tblPr>
        <w:tblStyle w:val="TableGrid"/>
        <w:tblW w:type="auto" w:w="0"/>
        <w:jc w:val="center"/>
        <w:tblLayout w:type="fixed"/>
        <w:tblLook w:firstColumn="1" w:firstRow="1" w:lastColumn="0" w:lastRow="0" w:noHBand="0" w:noVBand="1" w:val="04A0"/>
      </w:tblPr>
      <w:tblGrid>
        <w:gridCol w:w="893"/>
        <w:gridCol w:w="2016"/>
        <w:gridCol w:w="5760"/>
        <w:gridCol w:w="979"/>
      </w:tblGrid>
      <w:tr>
        <w:trPr>
          <w:tblHeader w:val="true"/>
          <w:tblHeader w:val="true"/>
          <w:cantSplit/>
        </w:trPr>
        <w:tc>
          <w:tcPr>
            <w:tcW w:type="dxa" w:w="2520"/>
            <w:shd w:fill="15354F"/>
            <w:tcMar>
              <w:top w:w="80" w:type="dxa"/>
              <w:bottom w:w="80" w:type="dxa"/>
              <w:left w:w="95" w:type="dxa"/>
              <w:right w:w="95" w:type="dxa"/>
            </w:tcMar>
          </w:tcPr>
          <w:p>
            <w:r>
              <w:rPr>
                <w:b/>
                <w:color w:val="FFFFFF"/>
                <w:sz w:val="16"/>
              </w:rPr>
              <w:t>ID</w:t>
            </w:r>
          </w:p>
        </w:tc>
        <w:tc>
          <w:tcPr>
            <w:tcW w:type="dxa" w:w="2520"/>
            <w:shd w:fill="15354F"/>
            <w:tcMar>
              <w:top w:w="80" w:type="dxa"/>
              <w:bottom w:w="80" w:type="dxa"/>
              <w:left w:w="95" w:type="dxa"/>
              <w:right w:w="95" w:type="dxa"/>
            </w:tcMar>
          </w:tcPr>
          <w:p>
            <w:r>
              <w:rPr>
                <w:b/>
                <w:color w:val="FFFFFF"/>
                <w:sz w:val="16"/>
              </w:rPr>
              <w:t>Decision topic</w:t>
            </w:r>
          </w:p>
        </w:tc>
        <w:tc>
          <w:tcPr>
            <w:tcW w:type="dxa" w:w="2520"/>
            <w:shd w:fill="15354F"/>
            <w:tcMar>
              <w:top w:w="80" w:type="dxa"/>
              <w:bottom w:w="80" w:type="dxa"/>
              <w:left w:w="95" w:type="dxa"/>
              <w:right w:w="95" w:type="dxa"/>
            </w:tcMar>
          </w:tcPr>
          <w:p>
            <w:r>
              <w:rPr>
                <w:b/>
                <w:color w:val="FFFFFF"/>
                <w:sz w:val="16"/>
              </w:rPr>
              <w:t>Normative baseline</w:t>
            </w:r>
          </w:p>
        </w:tc>
        <w:tc>
          <w:tcPr>
            <w:tcW w:type="dxa" w:w="2520"/>
            <w:shd w:fill="15354F"/>
            <w:tcMar>
              <w:top w:w="80" w:type="dxa"/>
              <w:bottom w:w="80" w:type="dxa"/>
              <w:left w:w="95" w:type="dxa"/>
              <w:right w:w="95" w:type="dxa"/>
            </w:tcMar>
          </w:tcPr>
          <w:p>
            <w:r>
              <w:rPr>
                <w:b/>
                <w:color w:val="FFFFFF"/>
                <w:sz w:val="16"/>
              </w:rPr>
              <w:t>Status</w:t>
            </w:r>
          </w:p>
        </w:tc>
      </w:tr>
      <w:tr>
        <w:trPr>
          <w:cantSplit/>
          <w:cantSplit/>
        </w:trPr>
        <w:tc>
          <w:tcPr>
            <w:tcW w:type="dxa" w:w="893"/>
            <w:vAlign w:val="center"/>
            <w:tcMar>
              <w:top w:w="80" w:type="dxa"/>
              <w:bottom w:w="80" w:type="dxa"/>
              <w:left w:w="95" w:type="dxa"/>
              <w:right w:w="95" w:type="dxa"/>
            </w:tcMar>
          </w:tcPr>
          <w:p>
            <w:pPr>
              <w:spacing w:after="0" w:line="240" w:lineRule="auto"/>
            </w:pPr>
            <w:r>
              <w:rPr>
                <w:color w:val="15354F"/>
                <w:sz w:val="15"/>
              </w:rPr>
              <w:t>AD-01</w:t>
            </w:r>
          </w:p>
        </w:tc>
        <w:tc>
          <w:tcPr>
            <w:tcW w:type="dxa" w:w="2016"/>
            <w:vAlign w:val="center"/>
            <w:tcMar>
              <w:top w:w="80" w:type="dxa"/>
              <w:bottom w:w="80" w:type="dxa"/>
              <w:left w:w="95" w:type="dxa"/>
              <w:right w:w="95" w:type="dxa"/>
            </w:tcMar>
          </w:tcPr>
          <w:p>
            <w:pPr>
              <w:spacing w:after="0" w:line="240" w:lineRule="auto"/>
            </w:pPr>
            <w:r>
              <w:rPr>
                <w:color w:val="15354F"/>
                <w:sz w:val="15"/>
              </w:rPr>
              <w:t>Orchestrator platform</w:t>
            </w:r>
          </w:p>
        </w:tc>
        <w:tc>
          <w:tcPr>
            <w:tcW w:type="dxa" w:w="5760"/>
            <w:vAlign w:val="center"/>
            <w:tcMar>
              <w:top w:w="80" w:type="dxa"/>
              <w:bottom w:w="80" w:type="dxa"/>
              <w:left w:w="95" w:type="dxa"/>
              <w:right w:w="95" w:type="dxa"/>
            </w:tcMar>
          </w:tcPr>
          <w:p>
            <w:pPr>
              <w:spacing w:after="0" w:line="240" w:lineRule="auto"/>
            </w:pPr>
            <w:r>
              <w:rPr>
                <w:color w:val="15354F"/>
                <w:sz w:val="15"/>
              </w:rPr>
              <w:t>.NET Linux container only. Central Docker/Kubernetes or local Docker Engine in WSL2; no Windows-hosted Orchestrator build required.</w:t>
            </w:r>
          </w:p>
        </w:tc>
        <w:tc>
          <w:tcPr>
            <w:tcW w:type="dxa" w:w="979"/>
            <w:vAlign w:val="center"/>
            <w:tcMar>
              <w:top w:w="80" w:type="dxa"/>
              <w:bottom w:w="80" w:type="dxa"/>
              <w:left w:w="95" w:type="dxa"/>
              <w:right w:w="95" w:type="dxa"/>
            </w:tcMar>
          </w:tcPr>
          <w:p>
            <w:pPr>
              <w:spacing w:after="0" w:line="240" w:lineRule="auto"/>
            </w:pPr>
            <w:r>
              <w:rPr>
                <w:color w:val="15354F"/>
                <w:sz w:val="15"/>
              </w:rPr>
              <w:t>Agreed</w:t>
            </w:r>
          </w:p>
        </w:tc>
      </w:tr>
      <w:tr>
        <w:trPr>
          <w:cantSplit/>
          <w:cantSplit/>
        </w:trPr>
        <w:tc>
          <w:tcPr>
            <w:tcW w:type="dxa" w:w="893"/>
            <w:vAlign w:val="center"/>
            <w:tcMar>
              <w:top w:w="80" w:type="dxa"/>
              <w:bottom w:w="80" w:type="dxa"/>
              <w:left w:w="95" w:type="dxa"/>
              <w:right w:w="95" w:type="dxa"/>
            </w:tcMar>
            <w:shd w:fill="F6F8FA"/>
          </w:tcPr>
          <w:p>
            <w:pPr>
              <w:spacing w:after="0" w:line="240" w:lineRule="auto"/>
            </w:pPr>
            <w:r>
              <w:rPr>
                <w:color w:val="15354F"/>
                <w:sz w:val="15"/>
              </w:rPr>
              <w:t>AD-02</w:t>
            </w:r>
          </w:p>
        </w:tc>
        <w:tc>
          <w:tcPr>
            <w:tcW w:type="dxa" w:w="2016"/>
            <w:vAlign w:val="center"/>
            <w:tcMar>
              <w:top w:w="80" w:type="dxa"/>
              <w:bottom w:w="80" w:type="dxa"/>
              <w:left w:w="95" w:type="dxa"/>
              <w:right w:w="95" w:type="dxa"/>
            </w:tcMar>
            <w:shd w:fill="F6F8FA"/>
          </w:tcPr>
          <w:p>
            <w:pPr>
              <w:spacing w:after="0" w:line="240" w:lineRule="auto"/>
            </w:pPr>
            <w:r>
              <w:rPr>
                <w:color w:val="15354F"/>
                <w:sz w:val="15"/>
              </w:rPr>
              <w:t>Desktop recording and targeting</w:t>
            </w:r>
          </w:p>
        </w:tc>
        <w:tc>
          <w:tcPr>
            <w:tcW w:type="dxa" w:w="5760"/>
            <w:vAlign w:val="center"/>
            <w:tcMar>
              <w:top w:w="80" w:type="dxa"/>
              <w:bottom w:w="80" w:type="dxa"/>
              <w:left w:w="95" w:type="dxa"/>
              <w:right w:w="95" w:type="dxa"/>
            </w:tcMar>
            <w:shd w:fill="F6F8FA"/>
          </w:tcPr>
          <w:p>
            <w:pPr>
              <w:spacing w:after="0" w:line="240" w:lineRule="auto"/>
            </w:pPr>
            <w:r>
              <w:rPr>
                <w:color w:val="15354F"/>
                <w:sz w:val="15"/>
              </w:rPr>
              <w:t>UIA first; Java Access Bridge; keyboard fallback; control-relative coordinates only after UIA targeting; no OCR/image matching in v1; published unsupported-app guidance.</w:t>
            </w:r>
          </w:p>
        </w:tc>
        <w:tc>
          <w:tcPr>
            <w:tcW w:type="dxa" w:w="979"/>
            <w:vAlign w:val="center"/>
            <w:tcMar>
              <w:top w:w="80" w:type="dxa"/>
              <w:bottom w:w="80" w:type="dxa"/>
              <w:left w:w="95" w:type="dxa"/>
              <w:right w:w="95" w:type="dxa"/>
            </w:tcMar>
            <w:shd w:fill="F6F8FA"/>
          </w:tcPr>
          <w:p>
            <w:pPr>
              <w:spacing w:after="0" w:line="240" w:lineRule="auto"/>
            </w:pPr>
            <w:r>
              <w:rPr>
                <w:color w:val="15354F"/>
                <w:sz w:val="15"/>
              </w:rPr>
              <w:t>Agreed</w:t>
            </w:r>
          </w:p>
        </w:tc>
      </w:tr>
      <w:tr>
        <w:trPr>
          <w:cantSplit/>
          <w:cantSplit/>
        </w:trPr>
        <w:tc>
          <w:tcPr>
            <w:tcW w:type="dxa" w:w="893"/>
            <w:vAlign w:val="center"/>
            <w:tcMar>
              <w:top w:w="80" w:type="dxa"/>
              <w:bottom w:w="80" w:type="dxa"/>
              <w:left w:w="95" w:type="dxa"/>
              <w:right w:w="95" w:type="dxa"/>
            </w:tcMar>
          </w:tcPr>
          <w:p>
            <w:pPr>
              <w:spacing w:after="0" w:line="240" w:lineRule="auto"/>
            </w:pPr>
            <w:r>
              <w:rPr>
                <w:color w:val="15354F"/>
                <w:sz w:val="15"/>
              </w:rPr>
              <w:t>AD-03</w:t>
            </w:r>
          </w:p>
        </w:tc>
        <w:tc>
          <w:tcPr>
            <w:tcW w:type="dxa" w:w="2016"/>
            <w:vAlign w:val="center"/>
            <w:tcMar>
              <w:top w:w="80" w:type="dxa"/>
              <w:bottom w:w="80" w:type="dxa"/>
              <w:left w:w="95" w:type="dxa"/>
              <w:right w:w="95" w:type="dxa"/>
            </w:tcMar>
          </w:tcPr>
          <w:p>
            <w:pPr>
              <w:spacing w:after="0" w:line="240" w:lineRule="auto"/>
            </w:pPr>
            <w:r>
              <w:rPr>
                <w:color w:val="15354F"/>
                <w:sz w:val="15"/>
              </w:rPr>
              <w:t>Credential integration</w:t>
            </w:r>
          </w:p>
        </w:tc>
        <w:tc>
          <w:tcPr>
            <w:tcW w:type="dxa" w:w="5760"/>
            <w:vAlign w:val="center"/>
            <w:tcMar>
              <w:top w:w="80" w:type="dxa"/>
              <w:bottom w:w="80" w:type="dxa"/>
              <w:left w:w="95" w:type="dxa"/>
              <w:right w:w="95" w:type="dxa"/>
            </w:tcMar>
          </w:tcPr>
          <w:p>
            <w:pPr>
              <w:spacing w:after="0" w:line="240" w:lineRule="auto"/>
            </w:pPr>
            <w:r>
              <w:rPr>
                <w:color w:val="15354F"/>
                <w:sz w:val="15"/>
              </w:rPr>
              <w:t>Connected deployment integrates approved enterprise vaults via Windows Runtime; isolated deployment uses local CurrentUser DPAPI under AD-14.</w:t>
            </w:r>
          </w:p>
        </w:tc>
        <w:tc>
          <w:tcPr>
            <w:tcW w:type="dxa" w:w="979"/>
            <w:vAlign w:val="center"/>
            <w:tcMar>
              <w:top w:w="80" w:type="dxa"/>
              <w:bottom w:w="80" w:type="dxa"/>
              <w:left w:w="95" w:type="dxa"/>
              <w:right w:w="95" w:type="dxa"/>
            </w:tcMar>
          </w:tcPr>
          <w:p>
            <w:pPr>
              <w:spacing w:after="0" w:line="240" w:lineRule="auto"/>
            </w:pPr>
            <w:r>
              <w:rPr>
                <w:color w:val="15354F"/>
                <w:sz w:val="15"/>
              </w:rPr>
              <w:t>Agreed</w:t>
            </w:r>
          </w:p>
        </w:tc>
      </w:tr>
      <w:tr>
        <w:trPr>
          <w:cantSplit/>
          <w:cantSplit/>
        </w:trPr>
        <w:tc>
          <w:tcPr>
            <w:tcW w:type="dxa" w:w="893"/>
            <w:vAlign w:val="center"/>
            <w:tcMar>
              <w:top w:w="80" w:type="dxa"/>
              <w:bottom w:w="80" w:type="dxa"/>
              <w:left w:w="95" w:type="dxa"/>
              <w:right w:w="95" w:type="dxa"/>
            </w:tcMar>
            <w:shd w:fill="F6F8FA"/>
          </w:tcPr>
          <w:p>
            <w:pPr>
              <w:spacing w:after="0" w:line="240" w:lineRule="auto"/>
            </w:pPr>
            <w:r>
              <w:rPr>
                <w:color w:val="15354F"/>
                <w:sz w:val="15"/>
              </w:rPr>
              <w:t>AD-04</w:t>
            </w:r>
          </w:p>
        </w:tc>
        <w:tc>
          <w:tcPr>
            <w:tcW w:type="dxa" w:w="2016"/>
            <w:vAlign w:val="center"/>
            <w:tcMar>
              <w:top w:w="80" w:type="dxa"/>
              <w:bottom w:w="80" w:type="dxa"/>
              <w:left w:w="95" w:type="dxa"/>
              <w:right w:w="95" w:type="dxa"/>
            </w:tcMar>
            <w:shd w:fill="F6F8FA"/>
          </w:tcPr>
          <w:p>
            <w:pPr>
              <w:spacing w:after="0" w:line="240" w:lineRule="auto"/>
            </w:pPr>
            <w:r>
              <w:rPr>
                <w:color w:val="15354F"/>
                <w:sz w:val="15"/>
              </w:rPr>
              <w:t>Runtime engineering priority</w:t>
            </w:r>
          </w:p>
        </w:tc>
        <w:tc>
          <w:tcPr>
            <w:tcW w:type="dxa" w:w="5760"/>
            <w:vAlign w:val="center"/>
            <w:tcMar>
              <w:top w:w="80" w:type="dxa"/>
              <w:bottom w:w="80" w:type="dxa"/>
              <w:left w:w="95" w:type="dxa"/>
              <w:right w:w="95" w:type="dxa"/>
            </w:tcMar>
            <w:shd w:fill="F6F8FA"/>
          </w:tcPr>
          <w:p>
            <w:r>
              <w:t>Desktop Runtime remains engineering critical path, including UIA/Java and interactive-session reliability. Browser and Terminal are independently deliverable and may ship earlier; thin describes responsibility, not engineering effort.</w:t>
            </w:r>
          </w:p>
        </w:tc>
        <w:tc>
          <w:tcPr>
            <w:tcW w:type="dxa" w:w="979"/>
            <w:vAlign w:val="center"/>
            <w:tcMar>
              <w:top w:w="80" w:type="dxa"/>
              <w:bottom w:w="80" w:type="dxa"/>
              <w:left w:w="95" w:type="dxa"/>
              <w:right w:w="95" w:type="dxa"/>
            </w:tcMar>
            <w:shd w:fill="F6F8FA"/>
          </w:tcPr>
          <w:p>
            <w:pPr>
              <w:spacing w:after="0" w:line="240" w:lineRule="auto"/>
            </w:pPr>
            <w:r>
              <w:rPr>
                <w:color w:val="15354F"/>
                <w:sz w:val="15"/>
              </w:rPr>
              <w:t>Agreed</w:t>
            </w:r>
          </w:p>
        </w:tc>
      </w:tr>
      <w:tr>
        <w:trPr>
          <w:cantSplit/>
          <w:cantSplit/>
        </w:trPr>
        <w:tc>
          <w:tcPr>
            <w:tcW w:type="dxa" w:w="893"/>
            <w:vAlign w:val="center"/>
            <w:tcMar>
              <w:top w:w="80" w:type="dxa"/>
              <w:bottom w:w="80" w:type="dxa"/>
              <w:left w:w="95" w:type="dxa"/>
              <w:right w:w="95" w:type="dxa"/>
            </w:tcMar>
          </w:tcPr>
          <w:p>
            <w:pPr>
              <w:spacing w:after="0" w:line="240" w:lineRule="auto"/>
            </w:pPr>
            <w:r>
              <w:rPr>
                <w:color w:val="15354F"/>
                <w:sz w:val="15"/>
              </w:rPr>
              <w:t>AD-05</w:t>
            </w:r>
          </w:p>
        </w:tc>
        <w:tc>
          <w:tcPr>
            <w:tcW w:type="dxa" w:w="2016"/>
            <w:vAlign w:val="center"/>
            <w:tcMar>
              <w:top w:w="80" w:type="dxa"/>
              <w:bottom w:w="80" w:type="dxa"/>
              <w:left w:w="95" w:type="dxa"/>
              <w:right w:w="95" w:type="dxa"/>
            </w:tcMar>
          </w:tcPr>
          <w:p>
            <w:pPr>
              <w:spacing w:after="0" w:line="240" w:lineRule="auto"/>
            </w:pPr>
            <w:r>
              <w:rPr>
                <w:color w:val="15354F"/>
                <w:sz w:val="15"/>
              </w:rPr>
              <w:t>External API outcome categories</w:t>
            </w:r>
          </w:p>
        </w:tc>
        <w:tc>
          <w:tcPr>
            <w:tcW w:type="dxa" w:w="5760"/>
            <w:vAlign w:val="center"/>
            <w:tcMar>
              <w:top w:w="80" w:type="dxa"/>
              <w:bottom w:w="80" w:type="dxa"/>
              <w:left w:w="95" w:type="dxa"/>
              <w:right w:w="95" w:type="dxa"/>
            </w:tcMar>
          </w:tcPr>
          <w:p>
            <w:r>
              <w:t>Four external API outcome categories: business rejection, technical failure, transient failure and unknown outcome. Runtime branches only on approved outcome/actionCode equality; domain values remain opaque.</w:t>
            </w:r>
          </w:p>
        </w:tc>
        <w:tc>
          <w:tcPr>
            <w:tcW w:type="dxa" w:w="979"/>
            <w:vAlign w:val="center"/>
            <w:tcMar>
              <w:top w:w="80" w:type="dxa"/>
              <w:bottom w:w="80" w:type="dxa"/>
              <w:left w:w="95" w:type="dxa"/>
              <w:right w:w="95" w:type="dxa"/>
            </w:tcMar>
          </w:tcPr>
          <w:p>
            <w:pPr>
              <w:spacing w:after="0" w:line="240" w:lineRule="auto"/>
            </w:pPr>
            <w:r>
              <w:rPr>
                <w:color w:val="15354F"/>
                <w:sz w:val="15"/>
              </w:rPr>
              <w:t>Agreed</w:t>
            </w:r>
          </w:p>
        </w:tc>
      </w:tr>
      <w:tr>
        <w:trPr>
          <w:cantSplit/>
          <w:cantSplit/>
        </w:trPr>
        <w:tc>
          <w:tcPr>
            <w:tcW w:type="dxa" w:w="893"/>
            <w:vAlign w:val="center"/>
            <w:tcMar>
              <w:top w:w="80" w:type="dxa"/>
              <w:bottom w:w="80" w:type="dxa"/>
              <w:left w:w="95" w:type="dxa"/>
              <w:right w:w="95" w:type="dxa"/>
            </w:tcMar>
            <w:shd w:fill="F6F8FA"/>
          </w:tcPr>
          <w:p>
            <w:pPr>
              <w:spacing w:after="0" w:line="240" w:lineRule="auto"/>
            </w:pPr>
            <w:r>
              <w:rPr>
                <w:color w:val="15354F"/>
                <w:sz w:val="15"/>
              </w:rPr>
              <w:t>AD-06</w:t>
            </w:r>
          </w:p>
        </w:tc>
        <w:tc>
          <w:tcPr>
            <w:tcW w:type="dxa" w:w="2016"/>
            <w:vAlign w:val="center"/>
            <w:tcMar>
              <w:top w:w="80" w:type="dxa"/>
              <w:bottom w:w="80" w:type="dxa"/>
              <w:left w:w="95" w:type="dxa"/>
              <w:right w:w="95" w:type="dxa"/>
            </w:tcMar>
            <w:shd w:fill="F6F8FA"/>
          </w:tcPr>
          <w:p>
            <w:pPr>
              <w:spacing w:after="0" w:line="240" w:lineRule="auto"/>
            </w:pPr>
            <w:r>
              <w:rPr>
                <w:color w:val="15354F"/>
                <w:sz w:val="15"/>
              </w:rPr>
              <w:t>Dispatch, lease and heartbeat</w:t>
            </w:r>
          </w:p>
        </w:tc>
        <w:tc>
          <w:tcPr>
            <w:tcW w:type="dxa" w:w="5760"/>
            <w:vAlign w:val="center"/>
            <w:tcMar>
              <w:top w:w="80" w:type="dxa"/>
              <w:bottom w:w="80" w:type="dxa"/>
              <w:left w:w="95" w:type="dxa"/>
              <w:right w:w="95" w:type="dxa"/>
            </w:tcMar>
            <w:shd w:fill="F6F8FA"/>
          </w:tcPr>
          <w:p>
            <w:r>
              <w:t>Interactive Executor initiates outbound pull, lease, heartbeat and reconnect (network or localhost); Supervisor monitors WSL and local control-plane health. No inbound bot listener required.</w:t>
            </w:r>
          </w:p>
        </w:tc>
        <w:tc>
          <w:tcPr>
            <w:tcW w:type="dxa" w:w="979"/>
            <w:vAlign w:val="center"/>
            <w:tcMar>
              <w:top w:w="80" w:type="dxa"/>
              <w:bottom w:w="80" w:type="dxa"/>
              <w:left w:w="95" w:type="dxa"/>
              <w:right w:w="95" w:type="dxa"/>
            </w:tcMar>
            <w:shd w:fill="F6F8FA"/>
          </w:tcPr>
          <w:p>
            <w:pPr>
              <w:spacing w:after="0" w:line="240" w:lineRule="auto"/>
            </w:pPr>
            <w:r>
              <w:rPr>
                <w:color w:val="15354F"/>
                <w:sz w:val="15"/>
              </w:rPr>
              <w:t>Agreed</w:t>
            </w:r>
          </w:p>
        </w:tc>
      </w:tr>
      <w:tr>
        <w:trPr>
          <w:cantSplit/>
          <w:cantSplit/>
        </w:trPr>
        <w:tc>
          <w:tcPr>
            <w:tcW w:type="dxa" w:w="893"/>
            <w:vAlign w:val="center"/>
            <w:tcMar>
              <w:top w:w="80" w:type="dxa"/>
              <w:bottom w:w="80" w:type="dxa"/>
              <w:left w:w="95" w:type="dxa"/>
              <w:right w:w="95" w:type="dxa"/>
            </w:tcMar>
          </w:tcPr>
          <w:p>
            <w:pPr>
              <w:spacing w:after="0" w:line="240" w:lineRule="auto"/>
            </w:pPr>
            <w:r>
              <w:rPr>
                <w:color w:val="15354F"/>
                <w:sz w:val="15"/>
              </w:rPr>
              <w:t>AD-07</w:t>
            </w:r>
          </w:p>
        </w:tc>
        <w:tc>
          <w:tcPr>
            <w:tcW w:type="dxa" w:w="2016"/>
            <w:vAlign w:val="center"/>
            <w:tcMar>
              <w:top w:w="80" w:type="dxa"/>
              <w:bottom w:w="80" w:type="dxa"/>
              <w:left w:w="95" w:type="dxa"/>
              <w:right w:w="95" w:type="dxa"/>
            </w:tcMar>
          </w:tcPr>
          <w:p>
            <w:pPr>
              <w:spacing w:after="0" w:line="240" w:lineRule="auto"/>
            </w:pPr>
            <w:r>
              <w:rPr>
                <w:color w:val="15354F"/>
                <w:sz w:val="15"/>
              </w:rPr>
              <w:t>Worker concurrency</w:t>
            </w:r>
          </w:p>
        </w:tc>
        <w:tc>
          <w:tcPr>
            <w:tcW w:type="dxa" w:w="5760"/>
            <w:vAlign w:val="center"/>
            <w:tcMar>
              <w:top w:w="80" w:type="dxa"/>
              <w:bottom w:w="80" w:type="dxa"/>
              <w:left w:w="95" w:type="dxa"/>
              <w:right w:w="95" w:type="dxa"/>
            </w:tcMar>
          </w:tcPr>
          <w:p>
            <w:r>
              <w:t>One active job per independently registered worker. One foreground-input owner per interactive Windows desktop session; headless Browser/Terminal workers may coexist within host-capacity limits.</w:t>
            </w:r>
          </w:p>
        </w:tc>
        <w:tc>
          <w:tcPr>
            <w:tcW w:type="dxa" w:w="979"/>
            <w:vAlign w:val="center"/>
            <w:tcMar>
              <w:top w:w="80" w:type="dxa"/>
              <w:bottom w:w="80" w:type="dxa"/>
              <w:left w:w="95" w:type="dxa"/>
              <w:right w:w="95" w:type="dxa"/>
            </w:tcMar>
          </w:tcPr>
          <w:p>
            <w:pPr>
              <w:spacing w:after="0" w:line="240" w:lineRule="auto"/>
            </w:pPr>
            <w:r>
              <w:rPr>
                <w:color w:val="15354F"/>
                <w:sz w:val="15"/>
              </w:rPr>
              <w:t>Agreed</w:t>
            </w:r>
          </w:p>
        </w:tc>
      </w:tr>
      <w:tr>
        <w:trPr>
          <w:cantSplit/>
          <w:cantSplit/>
        </w:trPr>
        <w:tc>
          <w:tcPr>
            <w:tcW w:type="dxa" w:w="893"/>
            <w:vAlign w:val="center"/>
            <w:tcMar>
              <w:top w:w="80" w:type="dxa"/>
              <w:bottom w:w="80" w:type="dxa"/>
              <w:left w:w="95" w:type="dxa"/>
              <w:right w:w="95" w:type="dxa"/>
            </w:tcMar>
            <w:shd w:fill="F6F8FA"/>
          </w:tcPr>
          <w:p>
            <w:pPr>
              <w:spacing w:after="0" w:line="240" w:lineRule="auto"/>
            </w:pPr>
            <w:r>
              <w:rPr>
                <w:color w:val="15354F"/>
                <w:sz w:val="15"/>
              </w:rPr>
              <w:t>AD-08</w:t>
            </w:r>
          </w:p>
        </w:tc>
        <w:tc>
          <w:tcPr>
            <w:tcW w:type="dxa" w:w="2016"/>
            <w:vAlign w:val="center"/>
            <w:tcMar>
              <w:top w:w="80" w:type="dxa"/>
              <w:bottom w:w="80" w:type="dxa"/>
              <w:left w:w="95" w:type="dxa"/>
              <w:right w:w="95" w:type="dxa"/>
            </w:tcMar>
            <w:shd w:fill="F6F8FA"/>
          </w:tcPr>
          <w:p>
            <w:pPr>
              <w:spacing w:after="0" w:line="240" w:lineRule="auto"/>
            </w:pPr>
            <w:r>
              <w:rPr>
                <w:color w:val="15354F"/>
                <w:sz w:val="15"/>
              </w:rPr>
              <w:t>Script compatibility</w:t>
            </w:r>
          </w:p>
        </w:tc>
        <w:tc>
          <w:tcPr>
            <w:tcW w:type="dxa" w:w="5760"/>
            <w:vAlign w:val="center"/>
            <w:tcMar>
              <w:top w:w="80" w:type="dxa"/>
              <w:bottom w:w="80" w:type="dxa"/>
              <w:left w:w="95" w:type="dxa"/>
              <w:right w:w="95" w:type="dxa"/>
            </w:tcMar>
            <w:shd w:fill="F6F8FA"/>
          </w:tcPr>
          <w:p>
            <w:r>
              <w:t>Common outer envelope and schemaVersion, current and previous major compatibility; independent namespaced action schemas; universal closed technical condition grammar and business-logic ban.</w:t>
            </w:r>
          </w:p>
        </w:tc>
        <w:tc>
          <w:tcPr>
            <w:tcW w:type="dxa" w:w="979"/>
            <w:vAlign w:val="center"/>
            <w:tcMar>
              <w:top w:w="80" w:type="dxa"/>
              <w:bottom w:w="80" w:type="dxa"/>
              <w:left w:w="95" w:type="dxa"/>
              <w:right w:w="95" w:type="dxa"/>
            </w:tcMar>
            <w:shd w:fill="F6F8FA"/>
          </w:tcPr>
          <w:p>
            <w:pPr>
              <w:spacing w:after="0" w:line="240" w:lineRule="auto"/>
            </w:pPr>
            <w:r>
              <w:rPr>
                <w:color w:val="15354F"/>
                <w:sz w:val="15"/>
              </w:rPr>
              <w:t>Agreed</w:t>
            </w:r>
          </w:p>
        </w:tc>
      </w:tr>
      <w:tr>
        <w:trPr>
          <w:cantSplit/>
          <w:cantSplit/>
        </w:trPr>
        <w:tc>
          <w:tcPr>
            <w:tcW w:type="dxa" w:w="893"/>
            <w:vAlign w:val="center"/>
            <w:tcMar>
              <w:top w:w="80" w:type="dxa"/>
              <w:bottom w:w="80" w:type="dxa"/>
              <w:left w:w="95" w:type="dxa"/>
              <w:right w:w="95" w:type="dxa"/>
            </w:tcMar>
          </w:tcPr>
          <w:p>
            <w:pPr>
              <w:spacing w:after="0" w:line="240" w:lineRule="auto"/>
            </w:pPr>
            <w:r>
              <w:rPr>
                <w:color w:val="15354F"/>
                <w:sz w:val="15"/>
              </w:rPr>
              <w:t>AD-09</w:t>
            </w:r>
          </w:p>
        </w:tc>
        <w:tc>
          <w:tcPr>
            <w:tcW w:type="dxa" w:w="2016"/>
            <w:vAlign w:val="center"/>
            <w:tcMar>
              <w:top w:w="80" w:type="dxa"/>
              <w:bottom w:w="80" w:type="dxa"/>
              <w:left w:w="95" w:type="dxa"/>
              <w:right w:w="95" w:type="dxa"/>
            </w:tcMar>
          </w:tcPr>
          <w:p>
            <w:pPr>
              <w:spacing w:after="0" w:line="240" w:lineRule="auto"/>
            </w:pPr>
            <w:r>
              <w:rPr>
                <w:color w:val="15354F"/>
                <w:sz w:val="15"/>
              </w:rPr>
              <w:t>Observability</w:t>
            </w:r>
          </w:p>
        </w:tc>
        <w:tc>
          <w:tcPr>
            <w:tcW w:type="dxa" w:w="5760"/>
            <w:vAlign w:val="center"/>
            <w:tcMar>
              <w:top w:w="80" w:type="dxa"/>
              <w:bottom w:w="80" w:type="dxa"/>
              <w:left w:w="95" w:type="dxa"/>
              <w:right w:w="95" w:type="dxa"/>
            </w:tcMar>
          </w:tcPr>
          <w:p>
            <w:pPr>
              <w:spacing w:after="0" w:line="240" w:lineRule="auto"/>
            </w:pPr>
            <w:r>
              <w:rPr>
                <w:color w:val="15354F"/>
                <w:sz w:val="15"/>
              </w:rPr>
              <w:t>OpenTelemetry-style fields, runId/businessJobId correlation; connected export, isolated local retention + on-demand export.</w:t>
            </w:r>
          </w:p>
        </w:tc>
        <w:tc>
          <w:tcPr>
            <w:tcW w:type="dxa" w:w="979"/>
            <w:vAlign w:val="center"/>
            <w:tcMar>
              <w:top w:w="80" w:type="dxa"/>
              <w:bottom w:w="80" w:type="dxa"/>
              <w:left w:w="95" w:type="dxa"/>
              <w:right w:w="95" w:type="dxa"/>
            </w:tcMar>
          </w:tcPr>
          <w:p>
            <w:pPr>
              <w:spacing w:after="0" w:line="240" w:lineRule="auto"/>
            </w:pPr>
            <w:r>
              <w:rPr>
                <w:color w:val="15354F"/>
                <w:sz w:val="15"/>
              </w:rPr>
              <w:t>Agreed</w:t>
            </w:r>
          </w:p>
        </w:tc>
      </w:tr>
      <w:tr>
        <w:trPr>
          <w:cantSplit/>
          <w:cantSplit/>
        </w:trPr>
        <w:tc>
          <w:tcPr>
            <w:tcW w:type="dxa" w:w="893"/>
            <w:vAlign w:val="center"/>
            <w:tcMar>
              <w:top w:w="80" w:type="dxa"/>
              <w:bottom w:w="80" w:type="dxa"/>
              <w:left w:w="95" w:type="dxa"/>
              <w:right w:w="95" w:type="dxa"/>
            </w:tcMar>
            <w:shd w:fill="F6F8FA"/>
          </w:tcPr>
          <w:p>
            <w:pPr>
              <w:spacing w:after="0" w:line="240" w:lineRule="auto"/>
            </w:pPr>
            <w:r>
              <w:rPr>
                <w:color w:val="15354F"/>
                <w:sz w:val="15"/>
              </w:rPr>
              <w:t>AD-10</w:t>
            </w:r>
          </w:p>
        </w:tc>
        <w:tc>
          <w:tcPr>
            <w:tcW w:type="dxa" w:w="2016"/>
            <w:vAlign w:val="center"/>
            <w:tcMar>
              <w:top w:w="80" w:type="dxa"/>
              <w:bottom w:w="80" w:type="dxa"/>
              <w:left w:w="95" w:type="dxa"/>
              <w:right w:w="95" w:type="dxa"/>
            </w:tcMar>
            <w:shd w:fill="F6F8FA"/>
          </w:tcPr>
          <w:p>
            <w:pPr>
              <w:spacing w:after="0" w:line="240" w:lineRule="auto"/>
            </w:pPr>
            <w:r>
              <w:rPr>
                <w:color w:val="15354F"/>
                <w:sz w:val="15"/>
              </w:rPr>
              <w:t>Remote desktop scope</w:t>
            </w:r>
          </w:p>
        </w:tc>
        <w:tc>
          <w:tcPr>
            <w:tcW w:type="dxa" w:w="5760"/>
            <w:vAlign w:val="center"/>
            <w:tcMar>
              <w:top w:w="80" w:type="dxa"/>
              <w:bottom w:w="80" w:type="dxa"/>
              <w:left w:w="95" w:type="dxa"/>
              <w:right w:w="95" w:type="dxa"/>
            </w:tcMar>
            <w:shd w:fill="F6F8FA"/>
          </w:tcPr>
          <w:p>
            <w:pPr>
              <w:spacing w:after="0" w:line="240" w:lineRule="auto"/>
            </w:pPr>
            <w:r>
              <w:rPr>
                <w:color w:val="15354F"/>
                <w:sz w:val="15"/>
              </w:rPr>
              <w:t>In-session Runtime only, treated as normal Desktop worker. Pixel-only remoting, OCR adapter, separate remote engine excluded.</w:t>
            </w:r>
          </w:p>
        </w:tc>
        <w:tc>
          <w:tcPr>
            <w:tcW w:type="dxa" w:w="979"/>
            <w:vAlign w:val="center"/>
            <w:tcMar>
              <w:top w:w="80" w:type="dxa"/>
              <w:bottom w:w="80" w:type="dxa"/>
              <w:left w:w="95" w:type="dxa"/>
              <w:right w:w="95" w:type="dxa"/>
            </w:tcMar>
            <w:shd w:fill="F6F8FA"/>
          </w:tcPr>
          <w:p>
            <w:pPr>
              <w:spacing w:after="0" w:line="240" w:lineRule="auto"/>
            </w:pPr>
            <w:r>
              <w:rPr>
                <w:color w:val="15354F"/>
                <w:sz w:val="15"/>
              </w:rPr>
              <w:t>Agreed</w:t>
            </w:r>
          </w:p>
        </w:tc>
      </w:tr>
      <w:tr>
        <w:trPr>
          <w:cantSplit/>
          <w:cantSplit/>
        </w:trPr>
        <w:tc>
          <w:tcPr>
            <w:tcW w:type="dxa" w:w="893"/>
            <w:vAlign w:val="center"/>
            <w:tcMar>
              <w:top w:w="80" w:type="dxa"/>
              <w:bottom w:w="80" w:type="dxa"/>
              <w:left w:w="95" w:type="dxa"/>
              <w:right w:w="95" w:type="dxa"/>
            </w:tcMar>
          </w:tcPr>
          <w:p>
            <w:pPr>
              <w:spacing w:after="0" w:line="240" w:lineRule="auto"/>
            </w:pPr>
            <w:r>
              <w:rPr>
                <w:color w:val="15354F"/>
                <w:sz w:val="15"/>
              </w:rPr>
              <w:t>AD-11</w:t>
            </w:r>
          </w:p>
        </w:tc>
        <w:tc>
          <w:tcPr>
            <w:tcW w:type="dxa" w:w="2016"/>
            <w:vAlign w:val="center"/>
            <w:tcMar>
              <w:top w:w="80" w:type="dxa"/>
              <w:bottom w:w="80" w:type="dxa"/>
              <w:left w:w="95" w:type="dxa"/>
              <w:right w:w="95" w:type="dxa"/>
            </w:tcMar>
          </w:tcPr>
          <w:p>
            <w:pPr>
              <w:spacing w:after="0" w:line="240" w:lineRule="auto"/>
            </w:pPr>
            <w:r>
              <w:rPr>
                <w:color w:val="15354F"/>
                <w:sz w:val="15"/>
              </w:rPr>
              <w:t>Session and display baseline</w:t>
            </w:r>
          </w:p>
        </w:tc>
        <w:tc>
          <w:tcPr>
            <w:tcW w:type="dxa" w:w="5760"/>
            <w:vAlign w:val="center"/>
            <w:tcMar>
              <w:top w:w="80" w:type="dxa"/>
              <w:bottom w:w="80" w:type="dxa"/>
              <w:left w:w="95" w:type="dxa"/>
              <w:right w:w="95" w:type="dxa"/>
            </w:tcMar>
          </w:tcPr>
          <w:p>
            <w:r>
              <w:t>Connected-mode session provisioning uses approved, vault-backed identity and must pass POC-10. v1 fixed display DPI/resolution and single monitor. Isolated desktop-session restoration passes POC-04; no unproven automatic logon claim.</w:t>
            </w:r>
          </w:p>
        </w:tc>
        <w:tc>
          <w:tcPr>
            <w:tcW w:type="dxa" w:w="979"/>
            <w:vAlign w:val="center"/>
            <w:tcMar>
              <w:top w:w="80" w:type="dxa"/>
              <w:bottom w:w="80" w:type="dxa"/>
              <w:left w:w="95" w:type="dxa"/>
              <w:right w:w="95" w:type="dxa"/>
            </w:tcMar>
          </w:tcPr>
          <w:p>
            <w:r>
              <w:t>Agreed intent; connected/isolated provisioning PoC pending</w:t>
            </w:r>
          </w:p>
        </w:tc>
      </w:tr>
      <w:tr>
        <w:trPr>
          <w:cantSplit/>
          <w:cantSplit/>
        </w:trPr>
        <w:tc>
          <w:tcPr>
            <w:tcW w:type="dxa" w:w="893"/>
            <w:vAlign w:val="center"/>
            <w:tcMar>
              <w:top w:w="80" w:type="dxa"/>
              <w:bottom w:w="80" w:type="dxa"/>
              <w:left w:w="95" w:type="dxa"/>
              <w:right w:w="95" w:type="dxa"/>
            </w:tcMar>
            <w:shd w:fill="F6F8FA"/>
          </w:tcPr>
          <w:p>
            <w:pPr>
              <w:spacing w:after="0" w:line="240" w:lineRule="auto"/>
            </w:pPr>
            <w:r>
              <w:rPr>
                <w:color w:val="15354F"/>
                <w:sz w:val="15"/>
              </w:rPr>
              <w:t>AD-12</w:t>
            </w:r>
          </w:p>
        </w:tc>
        <w:tc>
          <w:tcPr>
            <w:tcW w:type="dxa" w:w="2016"/>
            <w:vAlign w:val="center"/>
            <w:tcMar>
              <w:top w:w="80" w:type="dxa"/>
              <w:bottom w:w="80" w:type="dxa"/>
              <w:left w:w="95" w:type="dxa"/>
              <w:right w:w="95" w:type="dxa"/>
            </w:tcMar>
            <w:shd w:fill="F6F8FA"/>
          </w:tcPr>
          <w:p>
            <w:pPr>
              <w:spacing w:after="0" w:line="240" w:lineRule="auto"/>
            </w:pPr>
            <w:r>
              <w:rPr>
                <w:color w:val="15354F"/>
                <w:sz w:val="15"/>
              </w:rPr>
              <w:t>Two deployment topologies</w:t>
            </w:r>
          </w:p>
        </w:tc>
        <w:tc>
          <w:tcPr>
            <w:tcW w:type="dxa" w:w="5760"/>
            <w:vAlign w:val="center"/>
            <w:tcMar>
              <w:top w:w="80" w:type="dxa"/>
              <w:bottom w:w="80" w:type="dxa"/>
              <w:left w:w="95" w:type="dxa"/>
              <w:right w:w="95" w:type="dxa"/>
            </w:tcMar>
            <w:shd w:fill="F6F8FA"/>
          </w:tcPr>
          <w:p>
            <w:pPr>
              <w:spacing w:after="0" w:line="240" w:lineRule="auto"/>
            </w:pPr>
            <w:r>
              <w:rPr>
                <w:color w:val="15354F"/>
                <w:sz w:val="15"/>
              </w:rPr>
              <w:t>Connected central Orchestrator; isolated local WSL2 Docker Engine without Docker Desktop, signed offline bundle. Optional external business containers outside product.</w:t>
            </w:r>
          </w:p>
        </w:tc>
        <w:tc>
          <w:tcPr>
            <w:tcW w:type="dxa" w:w="979"/>
            <w:vAlign w:val="center"/>
            <w:tcMar>
              <w:top w:w="80" w:type="dxa"/>
              <w:bottom w:w="80" w:type="dxa"/>
              <w:left w:w="95" w:type="dxa"/>
              <w:right w:w="95" w:type="dxa"/>
            </w:tcMar>
            <w:shd w:fill="F6F8FA"/>
          </w:tcPr>
          <w:p>
            <w:pPr>
              <w:spacing w:after="0" w:line="240" w:lineRule="auto"/>
            </w:pPr>
            <w:r>
              <w:rPr>
                <w:color w:val="15354F"/>
                <w:sz w:val="15"/>
              </w:rPr>
              <w:t>Agreed</w:t>
            </w:r>
          </w:p>
        </w:tc>
      </w:tr>
      <w:tr>
        <w:trPr>
          <w:cantSplit/>
          <w:cantSplit/>
        </w:trPr>
        <w:tc>
          <w:tcPr>
            <w:tcW w:type="dxa" w:w="893"/>
            <w:vAlign w:val="center"/>
            <w:tcMar>
              <w:top w:w="80" w:type="dxa"/>
              <w:bottom w:w="80" w:type="dxa"/>
              <w:left w:w="95" w:type="dxa"/>
              <w:right w:w="95" w:type="dxa"/>
            </w:tcMar>
          </w:tcPr>
          <w:p>
            <w:pPr>
              <w:spacing w:after="0" w:line="240" w:lineRule="auto"/>
            </w:pPr>
            <w:r>
              <w:rPr>
                <w:color w:val="15354F"/>
                <w:sz w:val="15"/>
              </w:rPr>
              <w:t>AD-13</w:t>
            </w:r>
          </w:p>
        </w:tc>
        <w:tc>
          <w:tcPr>
            <w:tcW w:type="dxa" w:w="2016"/>
            <w:vAlign w:val="center"/>
            <w:tcMar>
              <w:top w:w="80" w:type="dxa"/>
              <w:bottom w:w="80" w:type="dxa"/>
              <w:left w:w="95" w:type="dxa"/>
              <w:right w:w="95" w:type="dxa"/>
            </w:tcMar>
          </w:tcPr>
          <w:p>
            <w:pPr>
              <w:spacing w:after="0" w:line="240" w:lineRule="auto"/>
            </w:pPr>
            <w:r>
              <w:rPr>
                <w:color w:val="15354F"/>
                <w:sz w:val="15"/>
              </w:rPr>
              <w:t>Isolated control-plane lifecycle</w:t>
            </w:r>
          </w:p>
        </w:tc>
        <w:tc>
          <w:tcPr>
            <w:tcW w:type="dxa" w:w="5760"/>
            <w:vAlign w:val="center"/>
            <w:tcMar>
              <w:top w:w="80" w:type="dxa"/>
              <w:bottom w:w="80" w:type="dxa"/>
              <w:left w:w="95" w:type="dxa"/>
              <w:right w:w="95" w:type="dxa"/>
            </w:tcMar>
          </w:tcPr>
          <w:p>
            <w:r>
              <w:t>One isolated host Supervisor under bot-user identity, installed once, separate from independently packaged worker processes. Interactive Desktop Executor owns outbound job pull; background Supervisor starts/supervises WSL. Desktop-session restoration requires PoC proof.</w:t>
            </w:r>
          </w:p>
        </w:tc>
        <w:tc>
          <w:tcPr>
            <w:tcW w:type="dxa" w:w="979"/>
            <w:vAlign w:val="center"/>
            <w:tcMar>
              <w:top w:w="80" w:type="dxa"/>
              <w:bottom w:w="80" w:type="dxa"/>
              <w:left w:w="95" w:type="dxa"/>
              <w:right w:w="95" w:type="dxa"/>
            </w:tcMar>
          </w:tcPr>
          <w:p>
            <w:pPr>
              <w:spacing w:after="0" w:line="240" w:lineRule="auto"/>
            </w:pPr>
            <w:r>
              <w:rPr>
                <w:color w:val="15354F"/>
                <w:sz w:val="15"/>
              </w:rPr>
              <w:t>Design accepted; PoC pending</w:t>
            </w:r>
          </w:p>
        </w:tc>
      </w:tr>
      <w:tr>
        <w:trPr>
          <w:cantSplit/>
          <w:cantSplit/>
        </w:trPr>
        <w:tc>
          <w:tcPr>
            <w:tcW w:type="dxa" w:w="893"/>
            <w:vAlign w:val="center"/>
            <w:tcMar>
              <w:top w:w="80" w:type="dxa"/>
              <w:bottom w:w="80" w:type="dxa"/>
              <w:left w:w="95" w:type="dxa"/>
              <w:right w:w="95" w:type="dxa"/>
            </w:tcMar>
            <w:shd w:fill="F6F8FA"/>
          </w:tcPr>
          <w:p>
            <w:pPr>
              <w:spacing w:after="0" w:line="240" w:lineRule="auto"/>
            </w:pPr>
            <w:r>
              <w:rPr>
                <w:color w:val="15354F"/>
                <w:sz w:val="15"/>
              </w:rPr>
              <w:t>AD-14</w:t>
            </w:r>
          </w:p>
        </w:tc>
        <w:tc>
          <w:tcPr>
            <w:tcW w:type="dxa" w:w="2016"/>
            <w:vAlign w:val="center"/>
            <w:tcMar>
              <w:top w:w="80" w:type="dxa"/>
              <w:bottom w:w="80" w:type="dxa"/>
              <w:left w:w="95" w:type="dxa"/>
              <w:right w:w="95" w:type="dxa"/>
            </w:tcMar>
            <w:shd w:fill="F6F8FA"/>
          </w:tcPr>
          <w:p>
            <w:pPr>
              <w:spacing w:after="0" w:line="240" w:lineRule="auto"/>
            </w:pPr>
            <w:r>
              <w:rPr>
                <w:color w:val="15354F"/>
                <w:sz w:val="15"/>
              </w:rPr>
              <w:t>Isolated secret resolution</w:t>
            </w:r>
          </w:p>
        </w:tc>
        <w:tc>
          <w:tcPr>
            <w:tcW w:type="dxa" w:w="5760"/>
            <w:vAlign w:val="center"/>
            <w:tcMar>
              <w:top w:w="80" w:type="dxa"/>
              <w:bottom w:w="80" w:type="dxa"/>
              <w:left w:w="95" w:type="dxa"/>
              <w:right w:w="95" w:type="dxa"/>
            </w:tcMar>
            <w:shd w:fill="F6F8FA"/>
          </w:tcPr>
          <w:p>
            <w:pPr>
              <w:spacing w:after="0" w:line="240" w:lineRule="auto"/>
            </w:pPr>
            <w:r>
              <w:rPr>
                <w:color w:val="15354F"/>
                <w:sz w:val="15"/>
              </w:rPr>
              <w:t>Windows DPAPI CurrentUser, stable secretRef, Windows-only just-in-time resolution; no Tracto secret in Orchestrator/containers; password reset re-provisioning.</w:t>
            </w:r>
          </w:p>
        </w:tc>
        <w:tc>
          <w:tcPr>
            <w:tcW w:type="dxa" w:w="979"/>
            <w:vAlign w:val="center"/>
            <w:tcMar>
              <w:top w:w="80" w:type="dxa"/>
              <w:bottom w:w="80" w:type="dxa"/>
              <w:left w:w="95" w:type="dxa"/>
              <w:right w:w="95" w:type="dxa"/>
            </w:tcMar>
            <w:shd w:fill="F6F8FA"/>
          </w:tcPr>
          <w:p>
            <w:pPr>
              <w:spacing w:after="0" w:line="240" w:lineRule="auto"/>
            </w:pPr>
            <w:r>
              <w:rPr>
                <w:color w:val="15354F"/>
                <w:sz w:val="15"/>
              </w:rPr>
              <w:t>Design accepted; PoC pending</w:t>
            </w:r>
          </w:p>
        </w:tc>
      </w:tr>
    </w:tbl>
    <w:p>
      <w:pPr>
        <w:spacing w:after="0"/>
      </w:pPr>
    </w:p>
    <w:p>
      <w:pPr>
        <w:pStyle w:val="Heading1"/>
      </w:pPr>
      <w:r>
        <w:t>14. Mandatory deployment PoC and conditional-freeze criteria</w:t>
      </w:r>
    </w:p>
    <w:p>
      <w:r>
        <w:t>v1.2 becomes an unconditional implementation baseline only after the nine isolated-mode tests POC-01–POC-09 and the connected-mode session test POC-10 each have reproducible evidence and PASS status on the declared certified environment. Isolated tests must run with the proposed Windows/WSL/Docker and account combination, avoiding interactive login unless the scenario requires it. A manual-login fallback never counts as an unattended PASS. If connected mode is not part of the first release, POC-10 may be explicitly scoped as a separate connected-mode release gate rather than recorded as passed.</w:t>
      </w:r>
    </w:p>
    <w:tbl>
      <w:tblPr>
        <w:tblStyle w:val="TableGrid"/>
        <w:tblW w:type="auto" w:w="0"/>
        <w:jc w:val="center"/>
        <w:tblLayout w:type="fixed"/>
        <w:tblLook w:firstColumn="1" w:firstRow="1" w:lastColumn="0" w:lastRow="0" w:noHBand="0" w:noVBand="1" w:val="04A0"/>
      </w:tblPr>
      <w:tblGrid>
        <w:gridCol w:w="936"/>
        <w:gridCol w:w="1757"/>
        <w:gridCol w:w="4435"/>
        <w:gridCol w:w="2520"/>
      </w:tblGrid>
      <w:tr>
        <w:trPr>
          <w:tblHeader w:val="true"/>
          <w:tblHeader w:val="true"/>
          <w:cantSplit/>
        </w:trPr>
        <w:tc>
          <w:tcPr>
            <w:tcW w:type="dxa" w:w="2520"/>
            <w:shd w:fill="15354F"/>
            <w:tcMar>
              <w:top w:w="80" w:type="dxa"/>
              <w:bottom w:w="80" w:type="dxa"/>
              <w:left w:w="95" w:type="dxa"/>
              <w:right w:w="95" w:type="dxa"/>
            </w:tcMar>
          </w:tcPr>
          <w:p>
            <w:r>
              <w:rPr>
                <w:b/>
                <w:color w:val="FFFFFF"/>
                <w:sz w:val="16"/>
              </w:rPr>
              <w:t>Test</w:t>
            </w:r>
          </w:p>
        </w:tc>
        <w:tc>
          <w:tcPr>
            <w:tcW w:type="dxa" w:w="2520"/>
            <w:shd w:fill="15354F"/>
            <w:tcMar>
              <w:top w:w="80" w:type="dxa"/>
              <w:bottom w:w="80" w:type="dxa"/>
              <w:left w:w="95" w:type="dxa"/>
              <w:right w:w="95" w:type="dxa"/>
            </w:tcMar>
          </w:tcPr>
          <w:p>
            <w:r>
              <w:rPr>
                <w:b/>
                <w:color w:val="FFFFFF"/>
                <w:sz w:val="16"/>
              </w:rPr>
              <w:t>Scenario</w:t>
            </w:r>
          </w:p>
        </w:tc>
        <w:tc>
          <w:tcPr>
            <w:tcW w:type="dxa" w:w="2520"/>
            <w:shd w:fill="15354F"/>
            <w:tcMar>
              <w:top w:w="80" w:type="dxa"/>
              <w:bottom w:w="80" w:type="dxa"/>
              <w:left w:w="95" w:type="dxa"/>
              <w:right w:w="95" w:type="dxa"/>
            </w:tcMar>
          </w:tcPr>
          <w:p>
            <w:r>
              <w:rPr>
                <w:b/>
                <w:color w:val="FFFFFF"/>
                <w:sz w:val="16"/>
              </w:rPr>
              <w:t>Mandatory pass condition</w:t>
            </w:r>
          </w:p>
        </w:tc>
        <w:tc>
          <w:tcPr>
            <w:tcW w:type="dxa" w:w="2520"/>
            <w:shd w:fill="15354F"/>
            <w:tcMar>
              <w:top w:w="80" w:type="dxa"/>
              <w:bottom w:w="80" w:type="dxa"/>
              <w:left w:w="95" w:type="dxa"/>
              <w:right w:w="95" w:type="dxa"/>
            </w:tcMar>
          </w:tcPr>
          <w:p>
            <w:r>
              <w:rPr>
                <w:b/>
                <w:color w:val="FFFFFF"/>
                <w:sz w:val="16"/>
              </w:rPr>
              <w:t>Evidence</w:t>
            </w:r>
          </w:p>
        </w:tc>
      </w:tr>
      <w:tr>
        <w:trPr>
          <w:cantSplit/>
          <w:cantSplit/>
        </w:trPr>
        <w:tc>
          <w:tcPr>
            <w:tcW w:type="dxa" w:w="936"/>
            <w:vAlign w:val="center"/>
            <w:tcMar>
              <w:top w:w="80" w:type="dxa"/>
              <w:bottom w:w="80" w:type="dxa"/>
              <w:left w:w="95" w:type="dxa"/>
              <w:right w:w="95" w:type="dxa"/>
            </w:tcMar>
          </w:tcPr>
          <w:p>
            <w:pPr>
              <w:spacing w:after="0" w:line="240" w:lineRule="auto"/>
            </w:pPr>
            <w:r>
              <w:rPr>
                <w:color w:val="15354F"/>
                <w:sz w:val="15"/>
              </w:rPr>
              <w:t>POC-01</w:t>
            </w:r>
          </w:p>
        </w:tc>
        <w:tc>
          <w:tcPr>
            <w:tcW w:type="dxa" w:w="1757"/>
            <w:vAlign w:val="center"/>
            <w:tcMar>
              <w:top w:w="80" w:type="dxa"/>
              <w:bottom w:w="80" w:type="dxa"/>
              <w:left w:w="95" w:type="dxa"/>
              <w:right w:w="95" w:type="dxa"/>
            </w:tcMar>
          </w:tcPr>
          <w:p>
            <w:pPr>
              <w:spacing w:after="0" w:line="240" w:lineRule="auto"/>
            </w:pPr>
            <w:r>
              <w:rPr>
                <w:color w:val="15354F"/>
                <w:sz w:val="15"/>
              </w:rPr>
              <w:t>Boot without interactive login</w:t>
            </w:r>
          </w:p>
        </w:tc>
        <w:tc>
          <w:tcPr>
            <w:tcW w:type="dxa" w:w="4435"/>
            <w:vAlign w:val="center"/>
            <w:tcMar>
              <w:top w:w="80" w:type="dxa"/>
              <w:bottom w:w="80" w:type="dxa"/>
              <w:left w:w="95" w:type="dxa"/>
              <w:right w:w="95" w:type="dxa"/>
            </w:tcMar>
          </w:tcPr>
          <w:p>
            <w:pPr>
              <w:spacing w:after="0" w:line="240" w:lineRule="auto"/>
            </w:pPr>
            <w:r>
              <w:rPr>
                <w:color w:val="15354F"/>
                <w:sz w:val="15"/>
              </w:rPr>
              <w:t>After cold restart with no user login, scheduled-task supervisor runs as the bot identity and starts the correct per-user WSL distribution, Docker Engine and Orchestrator.</w:t>
            </w:r>
          </w:p>
        </w:tc>
        <w:tc>
          <w:tcPr>
            <w:tcW w:type="dxa" w:w="2520"/>
            <w:vAlign w:val="center"/>
            <w:tcMar>
              <w:top w:w="80" w:type="dxa"/>
              <w:bottom w:w="80" w:type="dxa"/>
              <w:left w:w="95" w:type="dxa"/>
              <w:right w:w="95" w:type="dxa"/>
            </w:tcMar>
          </w:tcPr>
          <w:p>
            <w:pPr>
              <w:spacing w:after="0" w:line="240" w:lineRule="auto"/>
            </w:pPr>
            <w:r>
              <w:rPr>
                <w:color w:val="15354F"/>
                <w:sz w:val="15"/>
              </w:rPr>
              <w:t>Task history, process identity, WSL list, container health, uptime stamps.</w:t>
            </w:r>
          </w:p>
        </w:tc>
      </w:tr>
      <w:tr>
        <w:trPr>
          <w:cantSplit/>
          <w:cantSplit/>
        </w:trPr>
        <w:tc>
          <w:tcPr>
            <w:tcW w:type="dxa" w:w="936"/>
            <w:vAlign w:val="center"/>
            <w:tcMar>
              <w:top w:w="80" w:type="dxa"/>
              <w:bottom w:w="80" w:type="dxa"/>
              <w:left w:w="95" w:type="dxa"/>
              <w:right w:w="95" w:type="dxa"/>
            </w:tcMar>
            <w:shd w:fill="F6F8FA"/>
          </w:tcPr>
          <w:p>
            <w:pPr>
              <w:spacing w:after="0" w:line="240" w:lineRule="auto"/>
            </w:pPr>
            <w:r>
              <w:rPr>
                <w:color w:val="15354F"/>
                <w:sz w:val="15"/>
              </w:rPr>
              <w:t>POC-02</w:t>
            </w:r>
          </w:p>
        </w:tc>
        <w:tc>
          <w:tcPr>
            <w:tcW w:type="dxa" w:w="1757"/>
            <w:vAlign w:val="center"/>
            <w:tcMar>
              <w:top w:w="80" w:type="dxa"/>
              <w:bottom w:w="80" w:type="dxa"/>
              <w:left w:w="95" w:type="dxa"/>
              <w:right w:w="95" w:type="dxa"/>
            </w:tcMar>
            <w:shd w:fill="F6F8FA"/>
          </w:tcPr>
          <w:p>
            <w:pPr>
              <w:spacing w:after="0" w:line="240" w:lineRule="auto"/>
            </w:pPr>
            <w:r>
              <w:rPr>
                <w:color w:val="15354F"/>
                <w:sz w:val="15"/>
              </w:rPr>
              <w:t>Extended idle operation</w:t>
            </w:r>
          </w:p>
        </w:tc>
        <w:tc>
          <w:tcPr>
            <w:tcW w:type="dxa" w:w="4435"/>
            <w:vAlign w:val="center"/>
            <w:tcMar>
              <w:top w:w="80" w:type="dxa"/>
              <w:bottom w:w="80" w:type="dxa"/>
              <w:left w:w="95" w:type="dxa"/>
              <w:right w:w="95" w:type="dxa"/>
            </w:tcMar>
            <w:shd w:fill="F6F8FA"/>
          </w:tcPr>
          <w:p>
            <w:pPr>
              <w:spacing w:after="0" w:line="240" w:lineRule="auto"/>
            </w:pPr>
            <w:r>
              <w:rPr>
                <w:color w:val="15354F"/>
                <w:sz w:val="15"/>
              </w:rPr>
              <w:t>After representative idle window, WSL/containers remain healthy or supervisor restores them automatically; no manual intervention or missed scheduled job.</w:t>
            </w:r>
          </w:p>
        </w:tc>
        <w:tc>
          <w:tcPr>
            <w:tcW w:type="dxa" w:w="2520"/>
            <w:vAlign w:val="center"/>
            <w:tcMar>
              <w:top w:w="80" w:type="dxa"/>
              <w:bottom w:w="80" w:type="dxa"/>
              <w:left w:w="95" w:type="dxa"/>
              <w:right w:w="95" w:type="dxa"/>
            </w:tcMar>
            <w:shd w:fill="F6F8FA"/>
          </w:tcPr>
          <w:p>
            <w:pPr>
              <w:spacing w:after="0" w:line="240" w:lineRule="auto"/>
            </w:pPr>
            <w:r>
              <w:rPr>
                <w:color w:val="15354F"/>
                <w:sz w:val="15"/>
              </w:rPr>
              <w:t>Elapsed-time health log, restart counter, dispatch demonstration.</w:t>
            </w:r>
          </w:p>
        </w:tc>
      </w:tr>
      <w:tr>
        <w:trPr>
          <w:cantSplit/>
          <w:cantSplit/>
        </w:trPr>
        <w:tc>
          <w:tcPr>
            <w:tcW w:type="dxa" w:w="936"/>
            <w:vAlign w:val="center"/>
            <w:tcMar>
              <w:top w:w="80" w:type="dxa"/>
              <w:bottom w:w="80" w:type="dxa"/>
              <w:left w:w="95" w:type="dxa"/>
              <w:right w:w="95" w:type="dxa"/>
            </w:tcMar>
          </w:tcPr>
          <w:p>
            <w:pPr>
              <w:spacing w:after="0" w:line="240" w:lineRule="auto"/>
            </w:pPr>
            <w:r>
              <w:rPr>
                <w:color w:val="15354F"/>
                <w:sz w:val="15"/>
              </w:rPr>
              <w:t>POC-03</w:t>
            </w:r>
          </w:p>
        </w:tc>
        <w:tc>
          <w:tcPr>
            <w:tcW w:type="dxa" w:w="1757"/>
            <w:vAlign w:val="center"/>
            <w:tcMar>
              <w:top w:w="80" w:type="dxa"/>
              <w:bottom w:w="80" w:type="dxa"/>
              <w:left w:w="95" w:type="dxa"/>
              <w:right w:w="95" w:type="dxa"/>
            </w:tcMar>
          </w:tcPr>
          <w:p>
            <w:pPr>
              <w:spacing w:after="0" w:line="240" w:lineRule="auto"/>
            </w:pPr>
            <w:r>
              <w:rPr>
                <w:color w:val="15354F"/>
                <w:sz w:val="15"/>
              </w:rPr>
              <w:t>Desktop session unavailable</w:t>
            </w:r>
          </w:p>
        </w:tc>
        <w:tc>
          <w:tcPr>
            <w:tcW w:type="dxa" w:w="4435"/>
            <w:vAlign w:val="center"/>
            <w:tcMar>
              <w:top w:w="80" w:type="dxa"/>
              <w:bottom w:w="80" w:type="dxa"/>
              <w:left w:w="95" w:type="dxa"/>
              <w:right w:w="95" w:type="dxa"/>
            </w:tcMar>
          </w:tcPr>
          <w:p>
            <w:pPr>
              <w:spacing w:after="0" w:line="240" w:lineRule="auto"/>
            </w:pPr>
            <w:r>
              <w:rPr>
                <w:color w:val="15354F"/>
                <w:sz w:val="15"/>
              </w:rPr>
              <w:t>Orchestrator remains healthy and queues/blocks desktop work if no usable interactive session exists; no input attempt or false success.</w:t>
            </w:r>
          </w:p>
        </w:tc>
        <w:tc>
          <w:tcPr>
            <w:tcW w:type="dxa" w:w="2520"/>
            <w:vAlign w:val="center"/>
            <w:tcMar>
              <w:top w:w="80" w:type="dxa"/>
              <w:bottom w:w="80" w:type="dxa"/>
              <w:left w:w="95" w:type="dxa"/>
              <w:right w:w="95" w:type="dxa"/>
            </w:tcMar>
          </w:tcPr>
          <w:p>
            <w:pPr>
              <w:spacing w:after="0" w:line="240" w:lineRule="auto"/>
            </w:pPr>
            <w:r>
              <w:rPr>
                <w:color w:val="15354F"/>
                <w:sz w:val="15"/>
              </w:rPr>
              <w:t>Job state transitions, supervisor/worker logs, screenshots only if permitted.</w:t>
            </w:r>
          </w:p>
        </w:tc>
      </w:tr>
      <w:tr>
        <w:trPr>
          <w:cantSplit/>
          <w:cantSplit/>
        </w:trPr>
        <w:tc>
          <w:tcPr>
            <w:tcW w:type="dxa" w:w="936"/>
            <w:vAlign w:val="center"/>
            <w:tcMar>
              <w:top w:w="80" w:type="dxa"/>
              <w:bottom w:w="80" w:type="dxa"/>
              <w:left w:w="95" w:type="dxa"/>
              <w:right w:w="95" w:type="dxa"/>
            </w:tcMar>
            <w:shd w:fill="F6F8FA"/>
          </w:tcPr>
          <w:p>
            <w:pPr>
              <w:spacing w:after="0" w:line="240" w:lineRule="auto"/>
            </w:pPr>
            <w:r>
              <w:rPr>
                <w:color w:val="15354F"/>
                <w:sz w:val="15"/>
              </w:rPr>
              <w:t>POC-04</w:t>
            </w:r>
          </w:p>
        </w:tc>
        <w:tc>
          <w:tcPr>
            <w:tcW w:type="dxa" w:w="1757"/>
            <w:vAlign w:val="center"/>
            <w:tcMar>
              <w:top w:w="80" w:type="dxa"/>
              <w:bottom w:w="80" w:type="dxa"/>
              <w:left w:w="95" w:type="dxa"/>
              <w:right w:w="95" w:type="dxa"/>
            </w:tcMar>
            <w:shd w:fill="F6F8FA"/>
          </w:tcPr>
          <w:p>
            <w:pPr>
              <w:spacing w:after="0" w:line="240" w:lineRule="auto"/>
            </w:pPr>
            <w:r>
              <w:rPr>
                <w:color w:val="15354F"/>
                <w:sz w:val="15"/>
              </w:rPr>
              <w:t>Desktop session restoration</w:t>
            </w:r>
          </w:p>
        </w:tc>
        <w:tc>
          <w:tcPr>
            <w:tcW w:type="dxa" w:w="4435"/>
            <w:vAlign w:val="center"/>
            <w:tcMar>
              <w:top w:w="80" w:type="dxa"/>
              <w:bottom w:w="80" w:type="dxa"/>
              <w:left w:w="95" w:type="dxa"/>
              <w:right w:w="95" w:type="dxa"/>
            </w:tcMar>
            <w:shd w:fill="F6F8FA"/>
          </w:tcPr>
          <w:p>
            <w:r>
              <w:t>PoC must evaluate documented session-creation candidates (controlled RDP loopback only on policy/licensing-approved supported Windows Server editions; separately authorized auto-logon fallback). Demonstrate a real UI task after reboot without operator intervention to claim unattended. Manual login is an explicitly degraded result, not PASS.</w:t>
            </w:r>
          </w:p>
        </w:tc>
        <w:tc>
          <w:tcPr>
            <w:tcW w:type="dxa" w:w="2520"/>
            <w:vAlign w:val="center"/>
            <w:tcMar>
              <w:top w:w="80" w:type="dxa"/>
              <w:bottom w:w="80" w:type="dxa"/>
              <w:left w:w="95" w:type="dxa"/>
              <w:right w:w="95" w:type="dxa"/>
            </w:tcMar>
            <w:shd w:fill="F6F8FA"/>
          </w:tcPr>
          <w:p>
            <w:pPr>
              <w:spacing w:after="0" w:line="240" w:lineRule="auto"/>
            </w:pPr>
            <w:r>
              <w:rPr>
                <w:color w:val="15354F"/>
                <w:sz w:val="15"/>
              </w:rPr>
              <w:t>Windows session ID, identity trace, actual UI task execution evidence.</w:t>
            </w:r>
          </w:p>
        </w:tc>
      </w:tr>
      <w:tr>
        <w:trPr>
          <w:cantSplit/>
          <w:cantSplit/>
        </w:trPr>
        <w:tc>
          <w:tcPr>
            <w:tcW w:type="dxa" w:w="936"/>
            <w:vAlign w:val="center"/>
            <w:tcMar>
              <w:top w:w="80" w:type="dxa"/>
              <w:bottom w:w="80" w:type="dxa"/>
              <w:left w:w="95" w:type="dxa"/>
              <w:right w:w="95" w:type="dxa"/>
            </w:tcMar>
          </w:tcPr>
          <w:p>
            <w:pPr>
              <w:spacing w:after="0" w:line="240" w:lineRule="auto"/>
            </w:pPr>
            <w:r>
              <w:rPr>
                <w:color w:val="15354F"/>
                <w:sz w:val="15"/>
              </w:rPr>
              <w:t>POC-05</w:t>
            </w:r>
          </w:p>
        </w:tc>
        <w:tc>
          <w:tcPr>
            <w:tcW w:type="dxa" w:w="1757"/>
            <w:vAlign w:val="center"/>
            <w:tcMar>
              <w:top w:w="80" w:type="dxa"/>
              <w:bottom w:w="80" w:type="dxa"/>
              <w:left w:w="95" w:type="dxa"/>
              <w:right w:w="95" w:type="dxa"/>
            </w:tcMar>
          </w:tcPr>
          <w:p>
            <w:pPr>
              <w:spacing w:after="0" w:line="240" w:lineRule="auto"/>
            </w:pPr>
            <w:r>
              <w:rPr>
                <w:color w:val="15354F"/>
                <w:sz w:val="15"/>
              </w:rPr>
              <w:t>Local DPAPI after reboot</w:t>
            </w:r>
          </w:p>
        </w:tc>
        <w:tc>
          <w:tcPr>
            <w:tcW w:type="dxa" w:w="4435"/>
            <w:vAlign w:val="center"/>
            <w:tcMar>
              <w:top w:w="80" w:type="dxa"/>
              <w:bottom w:w="80" w:type="dxa"/>
              <w:left w:w="95" w:type="dxa"/>
              <w:right w:w="95" w:type="dxa"/>
            </w:tcMar>
          </w:tcPr>
          <w:p>
            <w:pPr>
              <w:spacing w:after="0" w:line="240" w:lineRule="auto"/>
            </w:pPr>
            <w:r>
              <w:rPr>
                <w:color w:val="15354F"/>
                <w:sz w:val="15"/>
              </w:rPr>
              <w:t>An authorized Windows Runtime process resolves pre-provisioned CurrentUser secretRef after cold restart without secret exposure to Orchestrator or WSL.</w:t>
            </w:r>
          </w:p>
        </w:tc>
        <w:tc>
          <w:tcPr>
            <w:tcW w:type="dxa" w:w="2520"/>
            <w:vAlign w:val="center"/>
            <w:tcMar>
              <w:top w:w="80" w:type="dxa"/>
              <w:bottom w:w="80" w:type="dxa"/>
              <w:left w:w="95" w:type="dxa"/>
              <w:right w:w="95" w:type="dxa"/>
            </w:tcMar>
          </w:tcPr>
          <w:p>
            <w:pPr>
              <w:spacing w:after="0" w:line="240" w:lineRule="auto"/>
            </w:pPr>
            <w:r>
              <w:rPr>
                <w:color w:val="15354F"/>
                <w:sz w:val="15"/>
              </w:rPr>
              <w:t>Sanitized trace, account context, secret-use success, container inspection.</w:t>
            </w:r>
          </w:p>
        </w:tc>
      </w:tr>
      <w:tr>
        <w:trPr>
          <w:cantSplit/>
          <w:cantSplit/>
        </w:trPr>
        <w:tc>
          <w:tcPr>
            <w:tcW w:type="dxa" w:w="936"/>
            <w:vAlign w:val="center"/>
            <w:tcMar>
              <w:top w:w="80" w:type="dxa"/>
              <w:bottom w:w="80" w:type="dxa"/>
              <w:left w:w="95" w:type="dxa"/>
              <w:right w:w="95" w:type="dxa"/>
            </w:tcMar>
            <w:shd w:fill="F6F8FA"/>
          </w:tcPr>
          <w:p>
            <w:pPr>
              <w:spacing w:after="0" w:line="240" w:lineRule="auto"/>
            </w:pPr>
            <w:r>
              <w:rPr>
                <w:color w:val="15354F"/>
                <w:sz w:val="15"/>
              </w:rPr>
              <w:t>POC-06</w:t>
            </w:r>
          </w:p>
        </w:tc>
        <w:tc>
          <w:tcPr>
            <w:tcW w:type="dxa" w:w="1757"/>
            <w:vAlign w:val="center"/>
            <w:tcMar>
              <w:top w:w="80" w:type="dxa"/>
              <w:bottom w:w="80" w:type="dxa"/>
              <w:left w:w="95" w:type="dxa"/>
              <w:right w:w="95" w:type="dxa"/>
            </w:tcMar>
            <w:shd w:fill="F6F8FA"/>
          </w:tcPr>
          <w:p>
            <w:pPr>
              <w:spacing w:after="0" w:line="240" w:lineRule="auto"/>
            </w:pPr>
            <w:r>
              <w:rPr>
                <w:color w:val="15354F"/>
                <w:sz w:val="15"/>
              </w:rPr>
              <w:t>Unexpected WSL termination</w:t>
            </w:r>
          </w:p>
        </w:tc>
        <w:tc>
          <w:tcPr>
            <w:tcW w:type="dxa" w:w="4435"/>
            <w:vAlign w:val="center"/>
            <w:tcMar>
              <w:top w:w="80" w:type="dxa"/>
              <w:bottom w:w="80" w:type="dxa"/>
              <w:left w:w="95" w:type="dxa"/>
              <w:right w:w="95" w:type="dxa"/>
            </w:tcMar>
            <w:shd w:fill="F6F8FA"/>
          </w:tcPr>
          <w:p>
            <w:pPr>
              <w:spacing w:after="0" w:line="240" w:lineRule="auto"/>
            </w:pPr>
            <w:r>
              <w:rPr>
                <w:color w:val="15354F"/>
                <w:sz w:val="15"/>
              </w:rPr>
              <w:t>Terminate WSL/Orchestrator unexpectedly; supervisor restores control plane; durable run state reconciles without silently replaying side effects.</w:t>
            </w:r>
          </w:p>
        </w:tc>
        <w:tc>
          <w:tcPr>
            <w:tcW w:type="dxa" w:w="2520"/>
            <w:vAlign w:val="center"/>
            <w:tcMar>
              <w:top w:w="80" w:type="dxa"/>
              <w:bottom w:w="80" w:type="dxa"/>
              <w:left w:w="95" w:type="dxa"/>
              <w:right w:w="95" w:type="dxa"/>
            </w:tcMar>
            <w:shd w:fill="F6F8FA"/>
          </w:tcPr>
          <w:p>
            <w:pPr>
              <w:spacing w:after="0" w:line="240" w:lineRule="auto"/>
            </w:pPr>
            <w:r>
              <w:rPr>
                <w:color w:val="15354F"/>
                <w:sz w:val="15"/>
              </w:rPr>
              <w:t>Crash trace, recovery duration, state reconciliation report.</w:t>
            </w:r>
          </w:p>
        </w:tc>
      </w:tr>
      <w:tr>
        <w:trPr>
          <w:cantSplit/>
          <w:cantSplit/>
        </w:trPr>
        <w:tc>
          <w:tcPr>
            <w:tcW w:type="dxa" w:w="936"/>
            <w:vAlign w:val="center"/>
            <w:tcMar>
              <w:top w:w="80" w:type="dxa"/>
              <w:bottom w:w="80" w:type="dxa"/>
              <w:left w:w="95" w:type="dxa"/>
              <w:right w:w="95" w:type="dxa"/>
            </w:tcMar>
          </w:tcPr>
          <w:p>
            <w:pPr>
              <w:spacing w:after="0" w:line="240" w:lineRule="auto"/>
            </w:pPr>
            <w:r>
              <w:rPr>
                <w:color w:val="15354F"/>
                <w:sz w:val="15"/>
              </w:rPr>
              <w:t>POC-07</w:t>
            </w:r>
          </w:p>
        </w:tc>
        <w:tc>
          <w:tcPr>
            <w:tcW w:type="dxa" w:w="1757"/>
            <w:vAlign w:val="center"/>
            <w:tcMar>
              <w:top w:w="80" w:type="dxa"/>
              <w:bottom w:w="80" w:type="dxa"/>
              <w:left w:w="95" w:type="dxa"/>
              <w:right w:w="95" w:type="dxa"/>
            </w:tcMar>
          </w:tcPr>
          <w:p>
            <w:pPr>
              <w:spacing w:after="0" w:line="240" w:lineRule="auto"/>
            </w:pPr>
            <w:r>
              <w:rPr>
                <w:color w:val="15354F"/>
                <w:sz w:val="15"/>
              </w:rPr>
              <w:t>Password change/reset recovery</w:t>
            </w:r>
          </w:p>
        </w:tc>
        <w:tc>
          <w:tcPr>
            <w:tcW w:type="dxa" w:w="4435"/>
            <w:vAlign w:val="center"/>
            <w:tcMar>
              <w:top w:w="80" w:type="dxa"/>
              <w:bottom w:w="80" w:type="dxa"/>
              <w:left w:w="95" w:type="dxa"/>
              <w:right w:w="95" w:type="dxa"/>
            </w:tcMar>
          </w:tcPr>
          <w:p>
            <w:pPr>
              <w:spacing w:after="0" w:line="240" w:lineRule="auto"/>
            </w:pPr>
            <w:r>
              <w:rPr>
                <w:color w:val="15354F"/>
                <w:sz w:val="15"/>
              </w:rPr>
              <w:t>Verify ordinary password change. Then perform administrative reset, update scheduled task, re-provision inaccessible secrets and demonstrate recovered access.</w:t>
            </w:r>
          </w:p>
        </w:tc>
        <w:tc>
          <w:tcPr>
            <w:tcW w:type="dxa" w:w="2520"/>
            <w:vAlign w:val="center"/>
            <w:tcMar>
              <w:top w:w="80" w:type="dxa"/>
              <w:bottom w:w="80" w:type="dxa"/>
              <w:left w:w="95" w:type="dxa"/>
              <w:right w:w="95" w:type="dxa"/>
            </w:tcMar>
          </w:tcPr>
          <w:p>
            <w:pPr>
              <w:spacing w:after="0" w:line="240" w:lineRule="auto"/>
            </w:pPr>
            <w:r>
              <w:rPr>
                <w:color w:val="15354F"/>
                <w:sz w:val="15"/>
              </w:rPr>
              <w:t>Security-approved procedure, task state, old/new credential access results.</w:t>
            </w:r>
          </w:p>
        </w:tc>
      </w:tr>
      <w:tr>
        <w:trPr>
          <w:cantSplit/>
          <w:cantSplit/>
        </w:trPr>
        <w:tc>
          <w:tcPr>
            <w:tcW w:type="dxa" w:w="936"/>
            <w:vAlign w:val="center"/>
            <w:tcMar>
              <w:top w:w="80" w:type="dxa"/>
              <w:bottom w:w="80" w:type="dxa"/>
              <w:left w:w="95" w:type="dxa"/>
              <w:right w:w="95" w:type="dxa"/>
            </w:tcMar>
            <w:shd w:fill="F6F8FA"/>
          </w:tcPr>
          <w:p>
            <w:pPr>
              <w:spacing w:after="0" w:line="240" w:lineRule="auto"/>
            </w:pPr>
            <w:r>
              <w:rPr>
                <w:color w:val="15354F"/>
                <w:sz w:val="15"/>
              </w:rPr>
              <w:t>POC-08</w:t>
            </w:r>
          </w:p>
        </w:tc>
        <w:tc>
          <w:tcPr>
            <w:tcW w:type="dxa" w:w="1757"/>
            <w:vAlign w:val="center"/>
            <w:tcMar>
              <w:top w:w="80" w:type="dxa"/>
              <w:bottom w:w="80" w:type="dxa"/>
              <w:left w:w="95" w:type="dxa"/>
              <w:right w:w="95" w:type="dxa"/>
            </w:tcMar>
            <w:shd w:fill="F6F8FA"/>
          </w:tcPr>
          <w:p>
            <w:pPr>
              <w:spacing w:after="0" w:line="240" w:lineRule="auto"/>
            </w:pPr>
            <w:r>
              <w:rPr>
                <w:color w:val="15354F"/>
                <w:sz w:val="15"/>
              </w:rPr>
              <w:t>Signed offline bundle upgrade</w:t>
            </w:r>
          </w:p>
        </w:tc>
        <w:tc>
          <w:tcPr>
            <w:tcW w:type="dxa" w:w="4435"/>
            <w:vAlign w:val="center"/>
            <w:tcMar>
              <w:top w:w="80" w:type="dxa"/>
              <w:bottom w:w="80" w:type="dxa"/>
              <w:left w:w="95" w:type="dxa"/>
              <w:right w:w="95" w:type="dxa"/>
            </w:tcMar>
            <w:shd w:fill="F6F8FA"/>
          </w:tcPr>
          <w:p>
            <w:r>
              <w:t>Verify signed offline image/package integrity; perform forward upgrade, restart services and run current + previous-major published scripts and compatibility tests. Document pre-upgrade backup/recovery and DB-migration rollback limitations; automatic downgrade/DB rollback is not a v1 acceptance requirement.</w:t>
            </w:r>
          </w:p>
        </w:tc>
        <w:tc>
          <w:tcPr>
            <w:tcW w:type="dxa" w:w="2520"/>
            <w:vAlign w:val="center"/>
            <w:tcMar>
              <w:top w:w="80" w:type="dxa"/>
              <w:bottom w:w="80" w:type="dxa"/>
              <w:left w:w="95" w:type="dxa"/>
              <w:right w:w="95" w:type="dxa"/>
            </w:tcMar>
            <w:shd w:fill="F6F8FA"/>
          </w:tcPr>
          <w:p>
            <w:pPr>
              <w:spacing w:after="0" w:line="240" w:lineRule="auto"/>
            </w:pPr>
            <w:r>
              <w:rPr>
                <w:color w:val="15354F"/>
                <w:sz w:val="15"/>
              </w:rPr>
              <w:t>Bundle signature check, image digest, compatibility regression output.</w:t>
            </w:r>
          </w:p>
        </w:tc>
      </w:tr>
      <w:tr>
        <w:trPr>
          <w:cantSplit/>
          <w:cantSplit/>
        </w:trPr>
        <w:tc>
          <w:tcPr>
            <w:tcW w:type="dxa" w:w="936"/>
            <w:vAlign w:val="center"/>
            <w:tcMar>
              <w:top w:w="80" w:type="dxa"/>
              <w:bottom w:w="80" w:type="dxa"/>
              <w:left w:w="95" w:type="dxa"/>
              <w:right w:w="95" w:type="dxa"/>
            </w:tcMar>
          </w:tcPr>
          <w:p>
            <w:pPr>
              <w:spacing w:after="0" w:line="240" w:lineRule="auto"/>
            </w:pPr>
            <w:r>
              <w:rPr>
                <w:color w:val="15354F"/>
                <w:sz w:val="15"/>
              </w:rPr>
              <w:t>POC-09</w:t>
            </w:r>
          </w:p>
        </w:tc>
        <w:tc>
          <w:tcPr>
            <w:tcW w:type="dxa" w:w="1757"/>
            <w:vAlign w:val="center"/>
            <w:tcMar>
              <w:top w:w="80" w:type="dxa"/>
              <w:bottom w:w="80" w:type="dxa"/>
              <w:left w:w="95" w:type="dxa"/>
              <w:right w:w="95" w:type="dxa"/>
            </w:tcMar>
          </w:tcPr>
          <w:p>
            <w:pPr>
              <w:spacing w:after="0" w:line="240" w:lineRule="auto"/>
            </w:pPr>
            <w:r>
              <w:rPr>
                <w:color w:val="15354F"/>
                <w:sz w:val="15"/>
              </w:rPr>
              <w:t>Control-plane restart mid-job</w:t>
            </w:r>
          </w:p>
        </w:tc>
        <w:tc>
          <w:tcPr>
            <w:tcW w:type="dxa" w:w="4435"/>
            <w:vAlign w:val="center"/>
            <w:tcMar>
              <w:top w:w="80" w:type="dxa"/>
              <w:bottom w:w="80" w:type="dxa"/>
              <w:left w:w="95" w:type="dxa"/>
              <w:right w:w="95" w:type="dxa"/>
            </w:tcMar>
          </w:tcPr>
          <w:p>
            <w:pPr>
              <w:spacing w:after="0" w:line="240" w:lineRule="auto"/>
            </w:pPr>
            <w:r>
              <w:rPr>
                <w:color w:val="15354F"/>
                <w:sz w:val="15"/>
              </w:rPr>
              <w:t>Restart Orchestrator during irreversible desktop action; reconcile run/attempt, finish as proven completed or unknown; never create a silent duplicate execution.</w:t>
            </w:r>
          </w:p>
        </w:tc>
        <w:tc>
          <w:tcPr>
            <w:tcW w:type="dxa" w:w="2520"/>
            <w:vAlign w:val="center"/>
            <w:tcMar>
              <w:top w:w="80" w:type="dxa"/>
              <w:bottom w:w="80" w:type="dxa"/>
              <w:left w:w="95" w:type="dxa"/>
              <w:right w:w="95" w:type="dxa"/>
            </w:tcMar>
          </w:tcPr>
          <w:p>
            <w:pPr>
              <w:spacing w:after="0" w:line="240" w:lineRule="auto"/>
            </w:pPr>
            <w:r>
              <w:rPr>
                <w:color w:val="15354F"/>
                <w:sz w:val="15"/>
              </w:rPr>
              <w:t>Run journals, attempts count, app state, final status timeline.</w:t>
            </w:r>
          </w:p>
        </w:tc>
      </w:tr>
      <w:tr>
        <w:trPr>
          <w:cantSplit/>
        </w:trPr>
        <w:tc>
          <w:tcPr>
            <w:tcW w:type="dxa" w:w="936"/>
          </w:tcPr>
          <w:p>
            <w:r>
              <w:t>POC-10</w:t>
            </w:r>
          </w:p>
        </w:tc>
        <w:tc>
          <w:tcPr>
            <w:tcW w:type="dxa" w:w="1757"/>
          </w:tcPr>
          <w:p>
            <w:r>
              <w:t>Connected-mode on-demand interactive session creation</w:t>
            </w:r>
          </w:p>
        </w:tc>
        <w:tc>
          <w:tcPr>
            <w:tcW w:type="dxa" w:w="4435"/>
          </w:tcPr>
          <w:p>
            <w:r>
              <w:t>Using the approved central Orchestrator and enterprise vault integration, create an authorized Windows interactive executor session on demand, run one real GUI task, and cleanly release the session. If this cannot be demonstrated, do not claim unattended connected-mode provisioning.</w:t>
            </w:r>
          </w:p>
        </w:tc>
        <w:tc>
          <w:tcPr>
            <w:tcW w:type="dxa" w:w="2520"/>
          </w:tcPr>
          <w:p>
            <w:r>
              <w:t>Session/identity timeline, vault access audit (redacted), interactive job result, session cleanup and failure evidence.</w:t>
            </w:r>
          </w:p>
        </w:tc>
      </w:tr>
    </w:tbl>
    <w:p>
      <w:pPr>
        <w:spacing w:after="0"/>
      </w:pPr>
    </w:p>
    <w:p>
      <w:pPr>
        <w:pStyle w:val="Heading2"/>
      </w:pPr>
      <w:r>
        <w:t>14.1 Freeze decision procedure</w:t>
      </w:r>
    </w:p>
    <w:p>
      <w:pPr>
        <w:spacing w:after="80"/>
        <w:ind w:left="374" w:hanging="331"/>
      </w:pPr>
      <w:r>
        <w:t>1.  Record PASS/FAIL, tester, host OS build, WSL version, Docker Engine version, image digests and execution timestamps for each test.</w:t>
      </w:r>
    </w:p>
    <w:p>
      <w:pPr>
        <w:spacing w:after="80"/>
        <w:ind w:left="374" w:hanging="331"/>
      </w:pPr>
      <w:r>
        <w:t>2.  For failures, capture an explicit architecture decision and remediation; do not change approved product scope by default.</w:t>
      </w:r>
    </w:p>
    <w:p>
      <w:pPr>
        <w:spacing w:after="80"/>
        <w:ind w:left="374" w:hanging="331"/>
      </w:pPr>
      <w:r>
        <w:t>3.  Have Runtime, platform, security and architecture representatives review the evidence.</w:t>
      </w:r>
    </w:p>
    <w:p>
      <w:pPr>
        <w:spacing w:after="80"/>
        <w:ind w:left="374" w:hanging="331"/>
      </w:pPr>
      <w:r>
        <w:t>4.  Only after every PoC required for the advertised deployment modes has PASS evidence, mark the implementation baseline frozen for those modes; otherwise retain CONDITIONAL FREEZE and document any unsupported unattended claims.</w:t>
      </w:r>
    </w:p>
    <w:p>
      <w:pPr>
        <w:pStyle w:val="Heading1"/>
      </w:pPr>
      <w:r>
        <w:t>15. Development sequencing and responsibilities</w:t>
      </w:r>
    </w:p>
    <w:tbl>
      <w:tblPr>
        <w:tblStyle w:val="TableGrid"/>
        <w:tblW w:type="auto" w:w="0"/>
        <w:jc w:val="center"/>
        <w:tblLayout w:type="fixed"/>
        <w:tblLook w:firstColumn="1" w:firstRow="1" w:lastColumn="0" w:lastRow="0" w:noHBand="0" w:noVBand="1" w:val="04A0"/>
      </w:tblPr>
      <w:tblGrid>
        <w:gridCol w:w="2131"/>
        <w:gridCol w:w="4392"/>
        <w:gridCol w:w="3125"/>
      </w:tblGrid>
      <w:tr>
        <w:trPr>
          <w:tblHeader w:val="true"/>
          <w:tblHeader w:val="true"/>
          <w:cantSplit/>
        </w:trPr>
        <w:tc>
          <w:tcPr>
            <w:tcW w:type="dxa" w:w="3360"/>
            <w:shd w:fill="15354F"/>
            <w:tcMar>
              <w:top w:w="80" w:type="dxa"/>
              <w:bottom w:w="80" w:type="dxa"/>
              <w:left w:w="95" w:type="dxa"/>
              <w:right w:w="95" w:type="dxa"/>
            </w:tcMar>
          </w:tcPr>
          <w:p>
            <w:r>
              <w:rPr>
                <w:b/>
                <w:color w:val="FFFFFF"/>
                <w:sz w:val="16"/>
              </w:rPr>
              <w:t>Track / stage</w:t>
            </w:r>
          </w:p>
        </w:tc>
        <w:tc>
          <w:tcPr>
            <w:tcW w:type="dxa" w:w="3360"/>
            <w:shd w:fill="15354F"/>
            <w:tcMar>
              <w:top w:w="80" w:type="dxa"/>
              <w:bottom w:w="80" w:type="dxa"/>
              <w:left w:w="95" w:type="dxa"/>
              <w:right w:w="95" w:type="dxa"/>
            </w:tcMar>
          </w:tcPr>
          <w:p>
            <w:r>
              <w:rPr>
                <w:b/>
                <w:color w:val="FFFFFF"/>
                <w:sz w:val="16"/>
              </w:rPr>
              <w:t>Deliverable</w:t>
            </w:r>
          </w:p>
        </w:tc>
        <w:tc>
          <w:tcPr>
            <w:tcW w:type="dxa" w:w="3360"/>
            <w:shd w:fill="15354F"/>
            <w:tcMar>
              <w:top w:w="80" w:type="dxa"/>
              <w:bottom w:w="80" w:type="dxa"/>
              <w:left w:w="95" w:type="dxa"/>
              <w:right w:w="95" w:type="dxa"/>
            </w:tcMar>
          </w:tcPr>
          <w:p>
            <w:r>
              <w:rPr>
                <w:b/>
                <w:color w:val="FFFFFF"/>
                <w:sz w:val="16"/>
              </w:rPr>
              <w:t>Exit gate</w:t>
            </w:r>
          </w:p>
        </w:tc>
      </w:tr>
      <w:tr>
        <w:trPr>
          <w:cantSplit/>
          <w:cantSplit/>
        </w:trPr>
        <w:tc>
          <w:tcPr>
            <w:tcW w:type="dxa" w:w="2131"/>
            <w:vAlign w:val="center"/>
            <w:tcMar>
              <w:top w:w="80" w:type="dxa"/>
              <w:bottom w:w="80" w:type="dxa"/>
              <w:left w:w="95" w:type="dxa"/>
              <w:right w:w="95" w:type="dxa"/>
            </w:tcMar>
          </w:tcPr>
          <w:p>
            <w:pPr>
              <w:spacing w:after="0" w:line="240" w:lineRule="auto"/>
            </w:pPr>
            <w:r>
              <w:rPr>
                <w:color w:val="15354F"/>
                <w:sz w:val="15"/>
              </w:rPr>
              <w:t>Common contracts</w:t>
            </w:r>
          </w:p>
        </w:tc>
        <w:tc>
          <w:tcPr>
            <w:tcW w:type="dxa" w:w="4392"/>
            <w:vAlign w:val="center"/>
            <w:tcMar>
              <w:top w:w="80" w:type="dxa"/>
              <w:bottom w:w="80" w:type="dxa"/>
              <w:left w:w="95" w:type="dxa"/>
              <w:right w:w="95" w:type="dxa"/>
            </w:tcMar>
          </w:tcPr>
          <w:p>
            <w:r>
              <w:t>Provisional common outer envelope, technical-condition grammar, IDs, API outcomes, security requirements and job pull/lease/heartbeat interface</w:t>
            </w:r>
          </w:p>
        </w:tc>
        <w:tc>
          <w:tcPr>
            <w:tcW w:type="dxa" w:w="3125"/>
            <w:vAlign w:val="center"/>
            <w:tcMar>
              <w:top w:w="80" w:type="dxa"/>
              <w:bottom w:w="80" w:type="dxa"/>
              <w:left w:w="95" w:type="dxa"/>
              <w:right w:w="95" w:type="dxa"/>
            </w:tcMar>
          </w:tcPr>
          <w:p>
            <w:r>
              <w:t>All three independently developed Runtime workers pass mock-Orchestrator conformance fixtures.</w:t>
            </w:r>
          </w:p>
        </w:tc>
      </w:tr>
      <w:tr>
        <w:trPr>
          <w:cantSplit/>
          <w:cantSplit/>
        </w:trPr>
        <w:tc>
          <w:tcPr>
            <w:tcW w:type="dxa" w:w="2131"/>
            <w:vAlign w:val="center"/>
            <w:tcMar>
              <w:top w:w="80" w:type="dxa"/>
              <w:bottom w:w="80" w:type="dxa"/>
              <w:left w:w="95" w:type="dxa"/>
              <w:right w:w="95" w:type="dxa"/>
            </w:tcMar>
            <w:shd w:fill="F6F8FA"/>
          </w:tcPr>
          <w:p>
            <w:pPr>
              <w:spacing w:after="0" w:line="240" w:lineRule="auto"/>
            </w:pPr>
            <w:r>
              <w:rPr>
                <w:color w:val="15354F"/>
                <w:sz w:val="15"/>
              </w:rPr>
              <w:t>Desktop Runtime critical path</w:t>
            </w:r>
          </w:p>
        </w:tc>
        <w:tc>
          <w:tcPr>
            <w:tcW w:type="dxa" w:w="4392"/>
            <w:vAlign w:val="center"/>
            <w:tcMar>
              <w:top w:w="80" w:type="dxa"/>
              <w:bottom w:w="80" w:type="dxa"/>
              <w:left w:w="95" w:type="dxa"/>
              <w:right w:w="95" w:type="dxa"/>
            </w:tcMar>
            <w:shd w:fill="F6F8FA"/>
          </w:tcPr>
          <w:p>
            <w:pPr>
              <w:spacing w:after="0" w:line="240" w:lineRule="auto"/>
            </w:pPr>
            <w:r>
              <w:rPr>
                <w:color w:val="15354F"/>
                <w:sz w:val="15"/>
              </w:rPr>
              <w:t>UIA/Java, keyboard/control-relative fallback, interaction action library, session supervisor/executor split</w:t>
            </w:r>
          </w:p>
        </w:tc>
        <w:tc>
          <w:tcPr>
            <w:tcW w:type="dxa" w:w="3125"/>
            <w:vAlign w:val="center"/>
            <w:tcMar>
              <w:top w:w="80" w:type="dxa"/>
              <w:bottom w:w="80" w:type="dxa"/>
              <w:left w:w="95" w:type="dxa"/>
              <w:right w:w="95" w:type="dxa"/>
            </w:tcMar>
            <w:shd w:fill="F6F8FA"/>
          </w:tcPr>
          <w:p>
            <w:pPr>
              <w:spacing w:after="0" w:line="240" w:lineRule="auto"/>
            </w:pPr>
            <w:r>
              <w:rPr>
                <w:color w:val="15354F"/>
                <w:sz w:val="15"/>
              </w:rPr>
              <w:t>Representative Windows apps pass repeatable selector-based tests.</w:t>
            </w:r>
          </w:p>
        </w:tc>
      </w:tr>
      <w:tr>
        <w:trPr>
          <w:cantSplit/>
          <w:cantSplit/>
        </w:trPr>
        <w:tc>
          <w:tcPr>
            <w:tcW w:type="dxa" w:w="2131"/>
            <w:vAlign w:val="center"/>
            <w:tcMar>
              <w:top w:w="80" w:type="dxa"/>
              <w:bottom w:w="80" w:type="dxa"/>
              <w:left w:w="95" w:type="dxa"/>
              <w:right w:w="95" w:type="dxa"/>
            </w:tcMar>
          </w:tcPr>
          <w:p>
            <w:pPr>
              <w:spacing w:after="0" w:line="240" w:lineRule="auto"/>
            </w:pPr>
            <w:r>
              <w:rPr>
                <w:color w:val="15354F"/>
                <w:sz w:val="15"/>
              </w:rPr>
              <w:t>Orchestrator parallel</w:t>
            </w:r>
          </w:p>
        </w:tc>
        <w:tc>
          <w:tcPr>
            <w:tcW w:type="dxa" w:w="4392"/>
            <w:vAlign w:val="center"/>
            <w:tcMar>
              <w:top w:w="80" w:type="dxa"/>
              <w:bottom w:w="80" w:type="dxa"/>
              <w:left w:w="95" w:type="dxa"/>
              <w:right w:w="95" w:type="dxa"/>
            </w:tcMar>
          </w:tcPr>
          <w:p>
            <w:pPr>
              <w:spacing w:after="0" w:line="240" w:lineRule="auto"/>
            </w:pPr>
            <w:r>
              <w:rPr>
                <w:color w:val="15354F"/>
                <w:sz w:val="15"/>
              </w:rPr>
              <w:t>Linux .NET image, queue, leases, callback dedup, continuation, isolated WSL Docker packaging</w:t>
            </w:r>
          </w:p>
        </w:tc>
        <w:tc>
          <w:tcPr>
            <w:tcW w:type="dxa" w:w="3125"/>
            <w:vAlign w:val="center"/>
            <w:tcMar>
              <w:top w:w="80" w:type="dxa"/>
              <w:bottom w:w="80" w:type="dxa"/>
              <w:left w:w="95" w:type="dxa"/>
              <w:right w:w="95" w:type="dxa"/>
            </w:tcMar>
          </w:tcPr>
          <w:p>
            <w:pPr>
              <w:spacing w:after="0" w:line="240" w:lineRule="auto"/>
            </w:pPr>
            <w:r>
              <w:rPr>
                <w:color w:val="15354F"/>
                <w:sz w:val="15"/>
              </w:rPr>
              <w:t>Both connected and isolated dispatch demonstrable.</w:t>
            </w:r>
          </w:p>
        </w:tc>
      </w:tr>
      <w:tr>
        <w:trPr>
          <w:cantSplit/>
          <w:cantSplit/>
        </w:trPr>
        <w:tc>
          <w:tcPr>
            <w:tcW w:type="dxa" w:w="2131"/>
            <w:vAlign w:val="center"/>
            <w:tcMar>
              <w:top w:w="80" w:type="dxa"/>
              <w:bottom w:w="80" w:type="dxa"/>
              <w:left w:w="95" w:type="dxa"/>
              <w:right w:w="95" w:type="dxa"/>
            </w:tcMar>
            <w:shd w:fill="F6F8FA"/>
          </w:tcPr>
          <w:p>
            <w:pPr>
              <w:spacing w:after="0" w:line="240" w:lineRule="auto"/>
            </w:pPr>
            <w:r>
              <w:rPr>
                <w:color w:val="15354F"/>
                <w:sz w:val="15"/>
              </w:rPr>
              <w:t>Browser / Terminal</w:t>
            </w:r>
          </w:p>
        </w:tc>
        <w:tc>
          <w:tcPr>
            <w:tcW w:type="dxa" w:w="4392"/>
            <w:vAlign w:val="center"/>
            <w:tcMar>
              <w:top w:w="80" w:type="dxa"/>
              <w:bottom w:w="80" w:type="dxa"/>
              <w:left w:w="95" w:type="dxa"/>
              <w:right w:w="95" w:type="dxa"/>
            </w:tcMar>
            <w:shd w:fill="F6F8FA"/>
          </w:tcPr>
          <w:p>
            <w:r>
              <w:t>Independent Browser and Terminal functional specs and .NET worker applications</w:t>
            </w:r>
          </w:p>
        </w:tc>
        <w:tc>
          <w:tcPr>
            <w:tcW w:type="dxa" w:w="3125"/>
            <w:vAlign w:val="center"/>
            <w:tcMar>
              <w:top w:w="80" w:type="dxa"/>
              <w:bottom w:w="80" w:type="dxa"/>
              <w:left w:w="95" w:type="dxa"/>
              <w:right w:w="95" w:type="dxa"/>
            </w:tcMar>
            <w:shd w:fill="F6F8FA"/>
          </w:tcPr>
          <w:p>
            <w:r>
              <w:t>Each passes its own functional test suite plus shared interface/security conformance tests.</w:t>
            </w:r>
          </w:p>
        </w:tc>
      </w:tr>
      <w:tr>
        <w:trPr>
          <w:cantSplit/>
          <w:cantSplit/>
        </w:trPr>
        <w:tc>
          <w:tcPr>
            <w:tcW w:type="dxa" w:w="2131"/>
            <w:vAlign w:val="center"/>
            <w:tcMar>
              <w:top w:w="80" w:type="dxa"/>
              <w:bottom w:w="80" w:type="dxa"/>
              <w:left w:w="95" w:type="dxa"/>
              <w:right w:w="95" w:type="dxa"/>
            </w:tcMar>
          </w:tcPr>
          <w:p>
            <w:pPr>
              <w:spacing w:after="0" w:line="240" w:lineRule="auto"/>
            </w:pPr>
            <w:r>
              <w:rPr>
                <w:color w:val="15354F"/>
                <w:sz w:val="15"/>
              </w:rPr>
              <w:t>Designer after schema slice</w:t>
            </w:r>
          </w:p>
        </w:tc>
        <w:tc>
          <w:tcPr>
            <w:tcW w:type="dxa" w:w="4392"/>
            <w:vAlign w:val="center"/>
            <w:tcMar>
              <w:top w:w="80" w:type="dxa"/>
              <w:bottom w:w="80" w:type="dxa"/>
              <w:left w:w="95" w:type="dxa"/>
              <w:right w:w="95" w:type="dxa"/>
            </w:tcMar>
          </w:tcPr>
          <w:p>
            <w:r>
              <w:t>Desktop, Browser and Terminal capture; narration/AI authoring with human review; signed script publishing and offline import</w:t>
            </w:r>
          </w:p>
        </w:tc>
        <w:tc>
          <w:tcPr>
            <w:tcW w:type="dxa" w:w="3125"/>
            <w:vAlign w:val="center"/>
            <w:tcMar>
              <w:top w:w="80" w:type="dxa"/>
              <w:bottom w:w="80" w:type="dxa"/>
              <w:left w:w="95" w:type="dxa"/>
              <w:right w:w="95" w:type="dxa"/>
            </w:tcMar>
          </w:tcPr>
          <w:p>
            <w:r>
              <w:t>Signed, approved script package can be imported and replayed without an AI/network dependency.</w:t>
            </w:r>
          </w:p>
        </w:tc>
      </w:tr>
      <w:tr>
        <w:trPr>
          <w:cantSplit/>
          <w:cantSplit/>
        </w:trPr>
        <w:tc>
          <w:tcPr>
            <w:tcW w:type="dxa" w:w="2131"/>
            <w:vAlign w:val="center"/>
            <w:tcMar>
              <w:top w:w="80" w:type="dxa"/>
              <w:bottom w:w="80" w:type="dxa"/>
              <w:left w:w="95" w:type="dxa"/>
              <w:right w:w="95" w:type="dxa"/>
            </w:tcMar>
            <w:shd w:fill="F6F8FA"/>
          </w:tcPr>
          <w:p>
            <w:pPr>
              <w:spacing w:after="0" w:line="240" w:lineRule="auto"/>
            </w:pPr>
            <w:r>
              <w:rPr>
                <w:color w:val="15354F"/>
                <w:sz w:val="15"/>
              </w:rPr>
              <w:t>Isolated-mode PoC</w:t>
            </w:r>
          </w:p>
        </w:tc>
        <w:tc>
          <w:tcPr>
            <w:tcW w:type="dxa" w:w="4392"/>
            <w:vAlign w:val="center"/>
            <w:tcMar>
              <w:top w:w="80" w:type="dxa"/>
              <w:bottom w:w="80" w:type="dxa"/>
              <w:left w:w="95" w:type="dxa"/>
              <w:right w:w="95" w:type="dxa"/>
            </w:tcMar>
            <w:shd w:fill="F6F8FA"/>
          </w:tcPr>
          <w:p>
            <w:r>
              <w:t>Isolated and connected deployment PoCs, session creation, DPAPI, signed upgrade and failure recovery</w:t>
            </w:r>
          </w:p>
        </w:tc>
        <w:tc>
          <w:tcPr>
            <w:tcW w:type="dxa" w:w="3125"/>
            <w:vAlign w:val="center"/>
            <w:tcMar>
              <w:top w:w="80" w:type="dxa"/>
              <w:bottom w:w="80" w:type="dxa"/>
              <w:left w:w="95" w:type="dxa"/>
              <w:right w:w="95" w:type="dxa"/>
            </w:tcMar>
            <w:shd w:fill="F6F8FA"/>
          </w:tcPr>
          <w:p>
            <w:r>
              <w:t>POC-01–POC-09 pass for isolated; POC-10 passes for advertised unattended connected mode.</w:t>
            </w:r>
          </w:p>
        </w:tc>
      </w:tr>
      <w:tr>
        <w:trPr>
          <w:cantSplit/>
          <w:cantSplit/>
        </w:trPr>
        <w:tc>
          <w:tcPr>
            <w:tcW w:type="dxa" w:w="2131"/>
            <w:vAlign w:val="center"/>
            <w:tcMar>
              <w:top w:w="80" w:type="dxa"/>
              <w:bottom w:w="80" w:type="dxa"/>
              <w:left w:w="95" w:type="dxa"/>
              <w:right w:w="95" w:type="dxa"/>
            </w:tcMar>
          </w:tcPr>
          <w:p>
            <w:pPr>
              <w:spacing w:after="0" w:line="240" w:lineRule="auto"/>
            </w:pPr>
            <w:r>
              <w:rPr>
                <w:color w:val="15354F"/>
                <w:sz w:val="15"/>
              </w:rPr>
              <w:t>Operational hardening</w:t>
            </w:r>
          </w:p>
        </w:tc>
        <w:tc>
          <w:tcPr>
            <w:tcW w:type="dxa" w:w="4392"/>
            <w:vAlign w:val="center"/>
            <w:tcMar>
              <w:top w:w="80" w:type="dxa"/>
              <w:bottom w:w="80" w:type="dxa"/>
              <w:left w:w="95" w:type="dxa"/>
              <w:right w:w="95" w:type="dxa"/>
            </w:tcMar>
          </w:tcPr>
          <w:p>
            <w:pPr>
              <w:spacing w:after="0" w:line="240" w:lineRule="auto"/>
            </w:pPr>
            <w:r>
              <w:rPr>
                <w:color w:val="15354F"/>
                <w:sz w:val="15"/>
              </w:rPr>
              <w:t>Support matrix, logs/evidence retention, installer, upgrade/recovery runbooks</w:t>
            </w:r>
          </w:p>
        </w:tc>
        <w:tc>
          <w:tcPr>
            <w:tcW w:type="dxa" w:w="3125"/>
            <w:vAlign w:val="center"/>
            <w:tcMar>
              <w:top w:w="80" w:type="dxa"/>
              <w:bottom w:w="80" w:type="dxa"/>
              <w:left w:w="95" w:type="dxa"/>
              <w:right w:w="95" w:type="dxa"/>
            </w:tcMar>
          </w:tcPr>
          <w:p>
            <w:pPr>
              <w:spacing w:after="0" w:line="240" w:lineRule="auto"/>
            </w:pPr>
            <w:r>
              <w:rPr>
                <w:color w:val="15354F"/>
                <w:sz w:val="15"/>
              </w:rPr>
              <w:t>Enterprise acceptance and security sign-off.</w:t>
            </w:r>
          </w:p>
        </w:tc>
      </w:tr>
    </w:tbl>
    <w:p>
      <w:pPr>
        <w:spacing w:after="0"/>
      </w:pPr>
    </w:p>
    <w:p>
      <w:pPr>
        <w:pStyle w:val="Heading2"/>
      </w:pPr>
      <w:r>
        <w:t>15.1 Delivery boundary and ownership</w:t>
      </w:r>
    </w:p>
    <w:p>
      <w:r>
        <w:t>An assigned platform/Runtime host owner maintains the single Windows Supervisor package and WSL control-plane supervision. Desktop, Browser and Terminal teams independently own their worker applications, action catalogues, supported-target matrices and acceptance tests. The Orchestrator team owns the .NET Linux container and dispatch protocol; the Designer team owns recording, authoring and publishing. A single Common Contract owner manages compatibility and versioning, with proportionate reviews of changes affecting participating workers. Each worker must pass the common interface/security conformance suite; cross-runtime implementation dependency is not required. Domain processing stays outside Tracto.</w:t>
      </w:r>
    </w:p>
    <w:p>
      <w:pPr>
        <w:pStyle w:val="Heading1"/>
      </w:pPr>
      <w:r>
        <w:t>16. Residual implementation choices and explicitly unsupported v1 scope</w:t>
      </w:r>
    </w:p>
    <w:p>
      <w:r>
        <w:t>Remaining engineering selections include: exact supported Windows/WSL/.NET versions, measured hardware minimums; supported application/control certification list; connection transport within approved Runtime-initiated pull; evidence retention; approved vault adapters; approved session-provisioning candidate selected by POC-04 and POC-10; installer policies and performance SLOs. Unproven RDP loopback and approved-exception auto-logon are PoC candidates, not production architecture commitments. These decisions do not reopen the three-component Tracto product boundary.</w:t>
      </w:r>
    </w:p>
    <w:p>
      <w:pPr>
        <w:pStyle w:val="Heading2"/>
      </w:pPr>
      <w:r>
        <w:t>16.1 Explicit non-goals for v1</w:t>
      </w:r>
    </w:p>
    <w:p>
      <w:pPr>
        <w:pStyle w:val="ListBullet"/>
      </w:pPr>
      <w:r>
        <w:t>OCR/image-recognition-based desktop target discovery or unanchored screen-coordinate automation.</w:t>
      </w:r>
    </w:p>
    <w:p>
      <w:pPr>
        <w:pStyle w:val="ListBullet"/>
      </w:pPr>
      <w:r>
        <w:t>Pixel-only remote Citrix/RDP/VDI automation where the Runtime is outside the app session.</w:t>
      </w:r>
    </w:p>
    <w:p>
      <w:pPr>
        <w:pStyle w:val="ListBullet"/>
      </w:pPr>
      <w:r>
        <w:t>A fourth execution engine, generic enterprise saga/BPM engine or business rule engine.</w:t>
      </w:r>
    </w:p>
    <w:p>
      <w:pPr>
        <w:pStyle w:val="ListBullet"/>
      </w:pPr>
      <w:r>
        <w:t>Multi-job concurrency in a single bot worker.</w:t>
      </w:r>
    </w:p>
    <w:p>
      <w:pPr>
        <w:pStyle w:val="ListBullet"/>
      </w:pPr>
      <w:r>
        <w:t>An embedded business-service framework, language restriction or Tracto-managed business-service secrets.</w:t>
      </w:r>
    </w:p>
    <w:p>
      <w:pPr>
        <w:pStyle w:val="ListBullet"/>
      </w:pPr>
      <w:r>
        <w:t>Automatic production use of LLM interpretation for every action.</w:t>
      </w:r>
    </w:p>
    <w:p>
      <w:pPr>
        <w:pStyle w:val="ListBullet"/>
      </w:pPr>
      <w:r>
        <w:t>Claims of fully unattended isolated recovery without demonstrated desktop-session restoration.</w:t>
      </w:r>
    </w:p>
    <w:tbl>
      <w:tblPr>
        <w:tblW w:type="auto" w:w="0"/>
        <w:tblLook w:firstColumn="1" w:firstRow="1" w:lastColumn="0" w:lastRow="0" w:noHBand="0" w:noVBand="1" w:val="04A0"/>
      </w:tblPr>
      <w:tblGrid>
        <w:gridCol w:w="10080"/>
      </w:tblGrid>
      <w:tr>
        <w:trPr>
          <w:cantSplit/>
        </w:trPr>
        <w:tc>
          <w:tcPr>
            <w:tcW w:type="dxa" w:w="10080"/>
            <w:shd w:fill="EDF4F8"/>
            <w:tcMar>
              <w:top w:w="130" w:type="dxa"/>
              <w:bottom w:w="130" w:type="dxa"/>
              <w:left w:w="170" w:type="dxa"/>
              <w:right w:w="170" w:type="dxa"/>
            </w:tcMar>
          </w:tcPr>
          <w:p>
            <w:r>
              <w:t>Closing statement  Tracto remains three logical components and one .NET foundation. Its Runtime family consists of three independently packaged applications. The Orchestrator manages technical execution, each Runtime acts through approved user/CLI interfaces and APIs, the Designer authors reviewed scripts, and external services do business processing. Conditional deployment freeze remains pending POC-01–POC-09 (isolated) and POC-10 where connected unattended provisioning is advertised.</w:t>
            </w:r>
          </w:p>
        </w:tc>
      </w:tr>
    </w:tbl>
    <w:p>
      <w:pPr>
        <w:spacing w:after="0"/>
      </w:pPr>
    </w:p>
    <w:p>
      <w:pPr>
        <w:pStyle w:val="Heading1"/>
      </w:pPr>
      <w:r>
        <w:t>Appendix A. Illustrative data contracts (not committed wire syntax)</w:t>
      </w:r>
    </w:p>
    <w:p>
      <w:r>
        <w:t>Script and job shapes intentionally exclude executable business functions. Wire syntax, type catalogue and size limits are engineering details to standardize through the common-contract workstream.</w:t>
      </w:r>
    </w:p>
    <w:tbl>
      <w:tblPr>
        <w:tblW w:type="auto" w:w="0"/>
        <w:tblLook w:firstColumn="1" w:firstRow="1" w:lastColumn="0" w:lastRow="0" w:noHBand="0" w:noVBand="1" w:val="04A0"/>
      </w:tblPr>
      <w:tblGrid>
        <w:gridCol w:w="10080"/>
      </w:tblGrid>
      <w:tr>
        <w:trPr>
          <w:cantSplit/>
        </w:trPr>
        <w:tc>
          <w:tcPr>
            <w:tcW w:type="dxa" w:w="10080"/>
            <w:shd w:fill="F6F8FA"/>
            <w:tcMar>
              <w:top w:w="125" w:type="dxa"/>
              <w:bottom w:w="125" w:type="dxa"/>
              <w:left w:w="140" w:type="dxa"/>
              <w:right w:w="140" w:type="dxa"/>
            </w:tcMar>
          </w:tcPr>
          <w:p>
            <w:pPr>
              <w:spacing w:after="0"/>
            </w:pPr>
            <w:r>
              <w:rPr>
                <w:rFonts w:ascii="Consolas" w:hAnsi="Consolas"/>
                <w:color w:val="15354F"/>
                <w:sz w:val="15"/>
              </w:rPr>
              <w:t>{</w:t>
            </w:r>
          </w:p>
          <w:p>
            <w:pPr>
              <w:spacing w:after="0"/>
            </w:pPr>
            <w:r>
              <w:rPr>
                <w:rFonts w:ascii="Consolas" w:hAnsi="Consolas"/>
                <w:color w:val="15354F"/>
                <w:sz w:val="15"/>
              </w:rPr>
              <w:t xml:space="preserve">  "schemaVersion": "2.0",</w:t>
            </w:r>
          </w:p>
          <w:p>
            <w:pPr>
              <w:spacing w:after="0"/>
            </w:pPr>
            <w:r>
              <w:rPr>
                <w:rFonts w:ascii="Consolas" w:hAnsi="Consolas"/>
                <w:color w:val="15354F"/>
                <w:sz w:val="15"/>
              </w:rPr>
              <w:t xml:space="preserve">  "automationId": "erp-invoice-update",</w:t>
            </w:r>
          </w:p>
          <w:p>
            <w:pPr>
              <w:spacing w:after="0"/>
            </w:pPr>
            <w:r>
              <w:rPr>
                <w:rFonts w:ascii="Consolas" w:hAnsi="Consolas"/>
                <w:color w:val="15354F"/>
                <w:sz w:val="15"/>
              </w:rPr>
              <w:t xml:space="preserve">  "version": "2.3.1",</w:t>
            </w:r>
          </w:p>
          <w:p>
            <w:pPr>
              <w:spacing w:after="0"/>
            </w:pPr>
            <w:r>
              <w:rPr>
                <w:rFonts w:ascii="Consolas" w:hAnsi="Consolas"/>
                <w:color w:val="15354F"/>
                <w:sz w:val="15"/>
              </w:rPr>
              <w:t xml:space="preserve">  "runtimeType": "desktop",</w:t>
            </w:r>
          </w:p>
          <w:p>
            <w:pPr>
              <w:spacing w:after="0"/>
            </w:pPr>
            <w:r>
              <w:rPr>
                <w:rFonts w:ascii="Consolas" w:hAnsi="Consolas"/>
                <w:color w:val="15354F"/>
                <w:sz w:val="15"/>
              </w:rPr>
              <w:t xml:space="preserve">  "steps": [</w:t>
            </w:r>
          </w:p>
          <w:p>
            <w:pPr>
              <w:spacing w:after="0"/>
            </w:pPr>
            <w:r>
              <w:rPr>
                <w:rFonts w:ascii="Consolas" w:hAnsi="Consolas"/>
                <w:color w:val="15354F"/>
                <w:sz w:val="15"/>
              </w:rPr>
              <w:t xml:space="preserve">    { "stepId": "readInvoice", "actionType": "ui.readText",</w:t>
            </w:r>
          </w:p>
          <w:p>
            <w:pPr>
              <w:spacing w:after="0"/>
            </w:pPr>
            <w:r>
              <w:rPr>
                <w:rFonts w:ascii="Consolas" w:hAnsi="Consolas"/>
                <w:color w:val="15354F"/>
                <w:sz w:val="15"/>
              </w:rPr>
              <w:t xml:space="preserve">      "target": { "uiaAutomationId": "InvoiceNumber" } },</w:t>
            </w:r>
          </w:p>
          <w:p>
            <w:pPr>
              <w:spacing w:after="0"/>
            </w:pPr>
            <w:r>
              <w:rPr>
                <w:rFonts w:ascii="Consolas" w:hAnsi="Consolas"/>
                <w:color w:val="15354F"/>
                <w:sz w:val="15"/>
              </w:rPr>
              <w:t xml:space="preserve">    { "stepId": "validate", "actionType": "api.request",</w:t>
            </w:r>
          </w:p>
          <w:p>
            <w:pPr>
              <w:spacing w:after="0"/>
            </w:pPr>
            <w:r>
              <w:rPr>
                <w:rFonts w:ascii="Consolas" w:hAnsi="Consolas"/>
                <w:color w:val="15354F"/>
                <w:sz w:val="15"/>
              </w:rPr>
              <w:t xml:space="preserve">      "endpointRef": "invoice.validation",</w:t>
            </w:r>
          </w:p>
          <w:p>
            <w:pPr>
              <w:spacing w:after="0"/>
            </w:pPr>
            <w:r>
              <w:rPr>
                <w:rFonts w:ascii="Consolas" w:hAnsi="Consolas"/>
                <w:color w:val="15354F"/>
                <w:sz w:val="15"/>
              </w:rPr>
              <w:t xml:space="preserve">      "authSecretRef": "biz-api-auth",</w:t>
            </w:r>
          </w:p>
          <w:p>
            <w:pPr>
              <w:spacing w:after="0"/>
            </w:pPr>
            <w:r>
              <w:rPr>
                <w:rFonts w:ascii="Consolas" w:hAnsi="Consolas"/>
                <w:color w:val="15354F"/>
                <w:sz w:val="15"/>
              </w:rPr>
              <w:t xml:space="preserve">      "outcomeMapping": "technical-category" }</w:t>
            </w:r>
          </w:p>
          <w:p>
            <w:pPr>
              <w:spacing w:after="0"/>
            </w:pPr>
            <w:r>
              <w:rPr>
                <w:rFonts w:ascii="Consolas" w:hAnsi="Consolas"/>
                <w:color w:val="15354F"/>
                <w:sz w:val="15"/>
              </w:rPr>
              <w:t xml:space="preserve">  ]</w:t>
            </w:r>
          </w:p>
          <w:p>
            <w:pPr>
              <w:spacing w:after="0"/>
            </w:pPr>
            <w:r>
              <w:rPr>
                <w:rFonts w:ascii="Consolas" w:hAnsi="Consolas"/>
                <w:color w:val="15354F"/>
                <w:sz w:val="15"/>
              </w:rPr>
              <w:t>}</w:t>
            </w:r>
          </w:p>
        </w:tc>
      </w:tr>
    </w:tbl>
    <w:p/>
    <w:tbl>
      <w:tblPr>
        <w:tblW w:type="auto" w:w="0"/>
        <w:tblLook w:firstColumn="1" w:firstRow="1" w:lastColumn="0" w:lastRow="0" w:noHBand="0" w:noVBand="1" w:val="04A0"/>
      </w:tblPr>
      <w:tblGrid>
        <w:gridCol w:w="10080"/>
      </w:tblGrid>
      <w:tr>
        <w:trPr>
          <w:cantSplit/>
        </w:trPr>
        <w:tc>
          <w:tcPr>
            <w:tcW w:type="dxa" w:w="10080"/>
            <w:shd w:fill="F6F8FA"/>
            <w:tcMar>
              <w:top w:w="125" w:type="dxa"/>
              <w:bottom w:w="125" w:type="dxa"/>
              <w:left w:w="140" w:type="dxa"/>
              <w:right w:w="140" w:type="dxa"/>
            </w:tcMar>
          </w:tcPr>
          <w:p>
            <w:pPr>
              <w:spacing w:after="0"/>
            </w:pPr>
            <w:r>
              <w:rPr>
                <w:rFonts w:ascii="Consolas" w:hAnsi="Consolas"/>
                <w:color w:val="15354F"/>
                <w:sz w:val="15"/>
              </w:rPr>
              <w:t>{</w:t>
            </w:r>
          </w:p>
          <w:p>
            <w:pPr>
              <w:spacing w:after="0"/>
            </w:pPr>
            <w:r>
              <w:rPr>
                <w:rFonts w:ascii="Consolas" w:hAnsi="Consolas"/>
                <w:color w:val="15354F"/>
                <w:sz w:val="15"/>
              </w:rPr>
              <w:t xml:space="preserve">  "runId": "run-001",</w:t>
            </w:r>
          </w:p>
          <w:p>
            <w:pPr>
              <w:spacing w:after="0"/>
            </w:pPr>
            <w:r>
              <w:rPr>
                <w:rFonts w:ascii="Consolas" w:hAnsi="Consolas"/>
                <w:color w:val="15354F"/>
                <w:sz w:val="15"/>
              </w:rPr>
              <w:t xml:space="preserve">  "attemptId": "attempt-001",</w:t>
            </w:r>
          </w:p>
          <w:p>
            <w:pPr>
              <w:spacing w:after="0"/>
            </w:pPr>
            <w:r>
              <w:rPr>
                <w:rFonts w:ascii="Consolas" w:hAnsi="Consolas"/>
                <w:color w:val="15354F"/>
                <w:sz w:val="15"/>
              </w:rPr>
              <w:t xml:space="preserve">  "scriptVersionRef": "erp-invoice-update@2.3.1",</w:t>
            </w:r>
          </w:p>
          <w:p>
            <w:pPr>
              <w:spacing w:after="0"/>
            </w:pPr>
            <w:r>
              <w:rPr>
                <w:rFonts w:ascii="Consolas" w:hAnsi="Consolas"/>
                <w:color w:val="15354F"/>
                <w:sz w:val="15"/>
              </w:rPr>
              <w:t xml:space="preserve">  "workerId": "windows-bot-07",</w:t>
            </w:r>
          </w:p>
          <w:p>
            <w:pPr>
              <w:spacing w:after="0"/>
            </w:pPr>
            <w:r>
              <w:rPr>
                <w:rFonts w:ascii="Consolas" w:hAnsi="Consolas"/>
                <w:color w:val="15354F"/>
                <w:sz w:val="15"/>
              </w:rPr>
              <w:t xml:space="preserve">  "correlationId": "corr-a71",</w:t>
            </w:r>
          </w:p>
          <w:p>
            <w:pPr>
              <w:spacing w:after="0"/>
            </w:pPr>
            <w:r>
              <w:rPr>
                <w:rFonts w:ascii="Consolas" w:hAnsi="Consolas"/>
                <w:color w:val="15354F"/>
                <w:sz w:val="15"/>
              </w:rPr>
              <w:t xml:space="preserve">  "secretRefs": ["biz-api-auth"],</w:t>
            </w:r>
          </w:p>
          <w:p>
            <w:pPr>
              <w:spacing w:after="0"/>
            </w:pPr>
            <w:r>
              <w:rPr>
                <w:rFonts w:ascii="Consolas" w:hAnsi="Consolas"/>
                <w:color w:val="15354F"/>
                <w:sz w:val="15"/>
              </w:rPr>
              <w:t xml:space="preserve">  "deadlineUtc": "&lt;timestamp&gt;"</w:t>
            </w:r>
          </w:p>
          <w:p>
            <w:pPr>
              <w:spacing w:after="0"/>
            </w:pPr>
            <w:r>
              <w:rPr>
                <w:rFonts w:ascii="Consolas" w:hAnsi="Consolas"/>
                <w:color w:val="15354F"/>
                <w:sz w:val="15"/>
              </w:rPr>
              <w:t>}</w:t>
            </w:r>
          </w:p>
        </w:tc>
      </w:tr>
    </w:tbl>
    <w:p/>
    <w:tbl>
      <w:tblPr>
        <w:tblW w:type="auto" w:w="0"/>
        <w:tblLook w:firstColumn="1" w:firstRow="1" w:lastColumn="0" w:lastRow="0" w:noHBand="0" w:noVBand="1" w:val="04A0"/>
      </w:tblPr>
      <w:tblGrid>
        <w:gridCol w:w="10080"/>
      </w:tblGrid>
      <w:tr>
        <w:trPr>
          <w:cantSplit/>
        </w:trPr>
        <w:tc>
          <w:tcPr>
            <w:tcW w:type="dxa" w:w="10080"/>
            <w:shd w:fill="F6F8FA"/>
            <w:tcMar>
              <w:top w:w="125" w:type="dxa"/>
              <w:bottom w:w="125" w:type="dxa"/>
              <w:left w:w="140" w:type="dxa"/>
              <w:right w:w="140" w:type="dxa"/>
            </w:tcMar>
          </w:tcPr>
          <w:p>
            <w:r>
              <w:t>{</w:t>
              <w:br/>
              <w:t xml:space="preserve">  "eventId": "evt-035",</w:t>
              <w:br/>
              <w:t xml:space="preserve">  "eventType": "BUSINESS_JOB_COMPLETED",</w:t>
              <w:br/>
              <w:t xml:space="preserve">  "businessJobId": "biz-813",</w:t>
              <w:br/>
              <w:t xml:space="preserve">  "correlationId": "corr-a71",</w:t>
              <w:br/>
              <w:t xml:space="preserve">  "resultRef": "biz-result-813"</w:t>
              <w:br/>
              <w:t>}</w:t>
              <w:br/>
              <w:br/>
              <w:t>Authentication/integrity: signed request envelope or HTTP signature headers with key ID, timestamp, nonce and HMAC/signature (not a JSON `authenticated` boolean). Orchestrator uses stored correlation -&gt; approved continuation mapping; callback cannot specify `continuationScriptRef`.</w:t>
            </w:r>
          </w:p>
        </w:tc>
      </w:tr>
    </w:tbl>
    <w:p/>
    <w:p>
      <w:pPr>
        <w:pStyle w:val="Heading1"/>
      </w:pPr>
      <w:r>
        <w:t>Appendix B. Vendor/reference notes for implementation validation</w:t>
      </w:r>
    </w:p>
    <w:p>
      <w:r>
        <w:t>The documents below are external technical references informing the selected implementation risk controls, not additional product requirements. Product decisions originate from the agreed Tracto architecture discussions.</w:t>
      </w:r>
    </w:p>
    <w:p>
      <w:pPr>
        <w:pStyle w:val="SmallNote"/>
      </w:pPr>
      <w:r>
        <w:t>R1  Microsoft Learn — WSL systemd lifecycle</w:t>
      </w:r>
    </w:p>
    <w:p>
      <w:pPr>
        <w:pStyle w:val="SmallNote"/>
      </w:pPr>
      <w:r>
        <w:t>https://learn.microsoft.com/en-us/windows/wsl/systemd</w:t>
      </w:r>
    </w:p>
    <w:p>
      <w:pPr>
        <w:pStyle w:val="SmallNote"/>
      </w:pPr>
      <w:r>
        <w:t>R2  Microsoft Learn — Task Scheduler logon types</w:t>
      </w:r>
    </w:p>
    <w:p>
      <w:pPr>
        <w:pStyle w:val="SmallNote"/>
      </w:pPr>
      <w:r>
        <w:t>https://learn.microsoft.com/en-us/windows/win32/taskschd/principal-logontype</w:t>
      </w:r>
    </w:p>
    <w:p>
      <w:pPr>
        <w:pStyle w:val="SmallNote"/>
      </w:pPr>
      <w:r>
        <w:t>R3  Microsoft Learn — DPAPI CryptProtectData</w:t>
      </w:r>
    </w:p>
    <w:p>
      <w:pPr>
        <w:pStyle w:val="SmallNote"/>
      </w:pPr>
      <w:r>
        <w:t>https://learn.microsoft.com/en-us/windows/win32/api/dpapi/nf-dpapi-cryptprotectdata</w:t>
      </w:r>
    </w:p>
    <w:p>
      <w:pPr>
        <w:pStyle w:val="SmallNote"/>
      </w:pPr>
      <w:r>
        <w:t>R4  Microsoft Learn — DPAPI CryptUnprotectData</w:t>
      </w:r>
    </w:p>
    <w:p>
      <w:pPr>
        <w:pStyle w:val="SmallNote"/>
      </w:pPr>
      <w:r>
        <w:t>https://learn.microsoft.com/en-us/windows/win32/api/dpapi/nf-dpapi-cryptunprotectdata</w:t>
      </w:r>
    </w:p>
    <w:p>
      <w:pPr>
        <w:pStyle w:val="SmallNote"/>
      </w:pPr>
      <w:r>
        <w:t>R5  Microsoft Learn — DPAPI recovery keys in Active Directory</w:t>
      </w:r>
    </w:p>
    <w:p>
      <w:pPr>
        <w:pStyle w:val="SmallNote"/>
      </w:pPr>
      <w:r>
        <w:t>https://learn.microsoft.com/en-us/windows/win32/seccng/cng-dpapi-backup-keys-on-ad-domain-controllers</w:t>
      </w:r>
    </w:p>
    <w:p>
      <w:pPr>
        <w:pStyle w:val="SmallNote"/>
      </w:pPr>
      <w:r>
        <w:t>R6  Microsoft Learn — .NET container operating systems</w:t>
      </w:r>
    </w:p>
    <w:p>
      <w:pPr>
        <w:pStyle w:val="SmallNote"/>
      </w:pPr>
      <w:r>
        <w:t>https://learn.microsoft.com/en-us/dotnet/architecture/microservices/net-core-net-framework-containers/net-container-os-targets</w:t>
      </w:r>
    </w:p>
    <w:p>
      <w:pPr>
        <w:pStyle w:val="SmallNote"/>
      </w:pPr>
      <w:r>
        <w:t>R7  Microsoft Learn — Exporting container images offline</w:t>
      </w:r>
    </w:p>
    <w:p>
      <w:pPr>
        <w:pStyle w:val="SmallNote"/>
      </w:pPr>
      <w:r>
        <w:t>https://learn.microsoft.com/en-us/dotnet/core/containers/sdk-publish</w:t>
      </w:r>
    </w:p>
    <w:p>
      <w:pPr>
        <w:pStyle w:val="SmallNote"/>
      </w:pPr>
      <w:r>
        <w:t>R8  Microsoft Learn — WSL advanced configuration</w:t>
      </w:r>
    </w:p>
    <w:p>
      <w:pPr>
        <w:pStyle w:val="SmallNote"/>
      </w:pPr>
      <w:r>
        <w:t>https://learn.microsoft.com/en-us/windows/wsl/wsl-config</w:t>
      </w:r>
    </w:p>
    <w:sectPr w:rsidR="00FC693F" w:rsidRPr="0006063C" w:rsidSect="00034616">
      <w:headerReference w:type="default" r:id="rId9"/>
      <w:footerReference w:type="default" r:id="rId10"/>
      <w:pgSz w:w="12240" w:h="15840"/>
      <w:pgMar w:top="1037" w:right="1051" w:bottom="936" w:left="1109"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5"/>
      </w:rPr>
      <w:t xml:space="preserve">ARCHITECTURE v1.2   •   CONDITIONAL FREEZE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TRACTO  /  ENTERPRISE RPA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535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5354F"/>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45B83"/>
      <w:sz w:val="22"/>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b/>
      <w:bCs/>
      <w:color w:val="147C8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535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00" w:after="100"/>
    </w:pPr>
    <w:rPr>
      <w:rFonts w:asciiTheme="majorHAnsi" w:eastAsiaTheme="majorEastAsia" w:hAnsiTheme="majorHAnsi" w:cstheme="majorBidi" w:ascii="Aptos Display" w:hAnsi="Aptos Display"/>
      <w:b w:val="0"/>
      <w:i/>
      <w:iCs/>
      <w:color w:val="5665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66578"/>
      <w:sz w:val="16"/>
    </w:rPr>
  </w:style>
  <w:style w:type="paragraph" w:customStyle="1" w:styleId="BoxText">
    <w:name w:val="Box Text"/>
    <w:rPr>
      <w:rFonts w:ascii="Aptos" w:hAnsi="Aptos"/>
      <w:b/>
      <w:color w:val="15354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Tracto RPA Architecture v1.2 | Revised Architect Review Edition</dc:title>
  <dc:subject>Three-component .NET RPA platform with independent external business services; connected and isolated modes</dc:subject>
  <dc:creator>Tracto Architecture Team</dc:creator>
  <cp:keywords>Tracto RPA .NET Desktop Browser Terminal Orchestrator WSL DPAPI</cp:keywords>
  <dc:description>Document revised for architecture review consistency; conditional PoC freeze preserved.</dc:description>
  <cp:lastModifiedBy/>
  <cp:revision>1</cp:revision>
  <dcterms:created xsi:type="dcterms:W3CDTF">2013-12-23T23:15:00Z</dcterms:created>
  <dcterms:modified xsi:type="dcterms:W3CDTF">2013-12-23T23:15:00Z</dcterms:modified>
  <cp:category/>
</cp:coreProperties>
</file>