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F3864"/>
          <w:sz w:val="32"/>
          <w:szCs w:val="32"/>
        </w:rPr>
        <w:t xml:space="preserve">Tracto RPA Platform</w:t>
      </w:r>
    </w:p>
    <w:p>
      <w:pPr>
        <w:spacing w:after="80"/>
        <w:jc w:val="center"/>
      </w:pPr>
      <w:r>
        <w:rPr>
          <w:b/>
          <w:bCs/>
          <w:color w:val="2E5FA3"/>
          <w:sz w:val="48"/>
          <w:szCs w:val="48"/>
        </w:rPr>
        <w:t xml:space="preserve">Parallel Runtimes Specification Review</w:t>
      </w:r>
    </w:p>
    <w:p>
      <w:pPr>
        <w:spacing w:after="40"/>
        <w:jc w:val="center"/>
      </w:pPr>
      <w:r>
        <w:rPr>
          <w:color w:val="444444"/>
          <w:sz w:val="24"/>
          <w:szCs w:val="24"/>
        </w:rPr>
        <w:t xml:space="preserve">Browser Runtime v1.1 Aligned  ·  Terminal Runtime v1.1 Aligned</w:t>
      </w:r>
    </w:p>
    <w:p>
      <w:pPr>
        <w:spacing w:after="80"/>
        <w:jc w:val="center"/>
      </w:pPr>
      <w:r>
        <w:rPr>
          <w:i/>
          <w:iCs/>
          <w:color w:val="666666"/>
          <w:sz w:val="20"/>
          <w:szCs w:val="20"/>
        </w:rPr>
        <w:t xml:space="preserve">Reviewed against Architecture v1.2A and Desktop Runtime v1.1 (reference implementation)</w:t>
      </w:r>
    </w:p>
    <w:p>
      <w:pPr>
        <w:spacing w:after="480"/>
        <w:jc w:val="center"/>
      </w:pPr>
      <w:r>
        <w:rPr>
          <w:color w:val="777777"/>
          <w:sz w:val="20"/>
          <w:szCs w:val="20"/>
        </w:rPr>
        <w:t xml:space="preserve">Date: 24 October 2026  ·  Version: 1.0</w:t>
      </w:r>
    </w:p>
    <w:p>
      <w:pPr>
        <w:pStyle w:val="Heading1"/>
        <w:spacing w:after="120" w:before="320"/>
      </w:pPr>
      <w:r>
        <w:t xml:space="preserve">§1 — Executive Summary</w:t>
      </w:r>
    </w:p>
    <w:p>
      <w:pPr>
        <w:spacing w:after="100"/>
      </w:pPr>
      <w:r>
        <w:rPr>
          <w:sz w:val="20"/>
          <w:szCs w:val="20"/>
        </w:rPr>
        <w:t xml:space="preserve">This review covers the two parallel runtime functional specifications submitted for architect approval: the Browser Runtime Functional Spec v1.1 Aligned and the Terminal Runtime Functional Spec v1.1 Aligned. Both documents are reviewed against (a) the Tracto Architecture v1.2A Independent Runtime Amendment, (b) the Common Execution &amp; Orchestrator Interface Contract v1.0.1, and (c) the Desktop Runtime Functional Spec v1.1 as the established reference implementation.</w:t>
      </w:r>
    </w:p>
    <w:p>
      <w:pPr>
        <w:spacing w:after="100"/>
      </w:pPr>
      <w:r>
        <w:rPr>
          <w:sz w:val="20"/>
          <w:szCs w:val="20"/>
        </w:rPr>
        <w:t xml:space="preserve">Both specifications are structurally sound and broadly aligned to the architecture. They correctly adopt CEC v1.0.1, maintain the one-job-per-worker model, use </w:t>
      </w:r>
      <w:r>
        <w:rPr>
          <w:rFonts w:ascii="Courier New" w:cs="Courier New" w:eastAsia="Courier New" w:hAnsi="Courier New"/>
          <w:sz w:val="18"/>
          <w:szCs w:val="18"/>
        </w:rPr>
        <w:t xml:space="preserve">service.invoke</w:t>
      </w:r>
      <w:r>
        <w:rPr>
          <w:sz w:val="20"/>
          <w:szCs w:val="20"/>
        </w:rPr>
        <w:t xml:space="preserve"> exclusively, implement correct UNKNOWN semantics for irreversible actions, and declare independent .NET worker delivery.</w:t>
      </w:r>
    </w:p>
    <w:p>
      <w:pPr>
        <w:spacing w:after="100"/>
      </w:pPr>
      <w:r>
        <w:rPr>
          <w:sz w:val="20"/>
          <w:szCs w:val="20"/>
        </w:rPr>
        <w:t xml:space="preserve">Nine findings are raised below — three at P1 (action required before approval), four at P2 (recommended improvements before certification), and two at P3 (minor observations). The three P1 findings all concern gaps that were already identified and corrected in the Desktop v1.1 review: they must now be applied symmetrically to the parallel runtimes.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600"/>
        <w:gridCol w:w="6060"/>
      </w:tblGrid>
      <w:tr>
        <w:trPr>
          <w:tblHeader/>
        </w:trPr>
        <w:tc>
          <w:tcPr>
            <w:tcW w:type="dxa" w:w="900"/>
            <w:shd w:fill="1F3864" w:color="auto" w:val="clear"/>
          </w:tcPr>
          <w:p>
            <w:pPr>
              <w:spacing w:after="60" w:before="60"/>
            </w:pPr>
            <w:r>
              <w:rPr>
                <w:b/>
                <w:bCs/>
                <w:color w:val="FFFFFF"/>
                <w:sz w:val="18"/>
                <w:szCs w:val="18"/>
              </w:rPr>
              <w:t xml:space="preserve">Finding</w:t>
            </w:r>
          </w:p>
        </w:tc>
        <w:tc>
          <w:tcPr>
            <w:tcW w:type="dxa" w:w="800"/>
            <w:shd w:fill="1F3864" w:color="auto" w:val="clear"/>
          </w:tcPr>
          <w:p>
            <w:pPr>
              <w:spacing w:after="60" w:before="60"/>
            </w:pPr>
            <w:r>
              <w:rPr>
                <w:b/>
                <w:bCs/>
                <w:color w:val="FFFFFF"/>
                <w:sz w:val="18"/>
                <w:szCs w:val="18"/>
              </w:rPr>
              <w:t xml:space="preserve">Severity</w:t>
            </w:r>
          </w:p>
        </w:tc>
        <w:tc>
          <w:tcPr>
            <w:tcW w:type="dxa" w:w="1600"/>
            <w:shd w:fill="1F3864" w:color="auto" w:val="clear"/>
          </w:tcPr>
          <w:p>
            <w:pPr>
              <w:spacing w:after="60" w:before="60"/>
            </w:pPr>
            <w:r>
              <w:rPr>
                <w:b/>
                <w:bCs/>
                <w:color w:val="FFFFFF"/>
                <w:sz w:val="18"/>
                <w:szCs w:val="18"/>
              </w:rPr>
              <w:t xml:space="preserve">Applies To</w:t>
            </w:r>
          </w:p>
        </w:tc>
        <w:tc>
          <w:tcPr>
            <w:tcW w:type="dxa" w:w="6060"/>
            <w:shd w:fill="1F3864" w:color="auto" w:val="clear"/>
          </w:tcPr>
          <w:p>
            <w:pPr>
              <w:spacing w:after="60" w:before="60"/>
            </w:pPr>
            <w:r>
              <w:rPr>
                <w:b/>
                <w:bCs/>
                <w:color w:val="FFFFFF"/>
                <w:sz w:val="18"/>
                <w:szCs w:val="18"/>
              </w:rPr>
              <w:t xml:space="preserve">Subject</w:t>
            </w:r>
          </w:p>
        </w:tc>
      </w:tr>
      <w:tr>
        <w:tc>
          <w:tcPr>
            <w:tcW w:type="dxa" w:w="900"/>
            <w:shd w:fill="F8D7DA" w:color="auto" w:val="clear"/>
          </w:tcPr>
          <w:p>
            <w:pPr>
              <w:spacing w:after="60" w:before="60"/>
            </w:pPr>
            <w:r>
              <w:rPr>
                <w:sz w:val="18"/>
                <w:szCs w:val="18"/>
              </w:rPr>
              <w:t xml:space="preserve">F-01</w:t>
            </w:r>
          </w:p>
        </w:tc>
        <w:tc>
          <w:tcPr>
            <w:tcW w:type="dxa" w:w="800"/>
            <w:shd w:fill="F8D7DA" w:color="auto" w:val="clear"/>
          </w:tcPr>
          <w:p>
            <w:pPr>
              <w:spacing w:after="60" w:before="60"/>
            </w:pPr>
            <w:r>
              <w:rPr>
                <w:sz w:val="18"/>
                <w:szCs w:val="18"/>
              </w:rPr>
              <w:t xml:space="preserve">P1</w:t>
            </w:r>
          </w:p>
        </w:tc>
        <w:tc>
          <w:tcPr>
            <w:tcW w:type="dxa" w:w="1600"/>
            <w:shd w:fill="F8D7DA" w:color="auto" w:val="clear"/>
          </w:tcPr>
          <w:p>
            <w:pPr>
              <w:spacing w:after="60" w:before="60"/>
            </w:pPr>
            <w:r>
              <w:rPr>
                <w:sz w:val="18"/>
                <w:szCs w:val="18"/>
              </w:rPr>
              <w:t xml:space="preserve">Both</w:t>
            </w:r>
          </w:p>
        </w:tc>
        <w:tc>
          <w:tcPr>
            <w:tcW w:type="dxa" w:w="6060"/>
            <w:shd w:fill="F8D7DA" w:color="auto" w:val="clear"/>
          </w:tcPr>
          <w:p>
            <w:pPr>
              <w:spacing w:after="60" w:before="60"/>
            </w:pPr>
            <w:r>
              <w:rPr>
                <w:sz w:val="18"/>
                <w:szCs w:val="18"/>
              </w:rPr>
              <w:t xml:space="preserve">Action gap classification table missing (§3.2 equivalent)</w:t>
            </w:r>
          </w:p>
        </w:tc>
      </w:tr>
      <w:tr>
        <w:tc>
          <w:tcPr>
            <w:tcW w:type="dxa" w:w="900"/>
            <w:shd w:fill="F8D7DA" w:color="auto" w:val="clear"/>
          </w:tcPr>
          <w:p>
            <w:pPr>
              <w:spacing w:after="60" w:before="60"/>
            </w:pPr>
            <w:r>
              <w:rPr>
                <w:sz w:val="18"/>
                <w:szCs w:val="18"/>
              </w:rPr>
              <w:t xml:space="preserve">F-02</w:t>
            </w:r>
          </w:p>
        </w:tc>
        <w:tc>
          <w:tcPr>
            <w:tcW w:type="dxa" w:w="800"/>
            <w:shd w:fill="F8D7DA" w:color="auto" w:val="clear"/>
          </w:tcPr>
          <w:p>
            <w:pPr>
              <w:spacing w:after="60" w:before="60"/>
            </w:pPr>
            <w:r>
              <w:rPr>
                <w:sz w:val="18"/>
                <w:szCs w:val="18"/>
              </w:rPr>
              <w:t xml:space="preserve">P1</w:t>
            </w:r>
          </w:p>
        </w:tc>
        <w:tc>
          <w:tcPr>
            <w:tcW w:type="dxa" w:w="1600"/>
            <w:shd w:fill="F8D7DA" w:color="auto" w:val="clear"/>
          </w:tcPr>
          <w:p>
            <w:pPr>
              <w:spacing w:after="60" w:before="60"/>
            </w:pPr>
            <w:r>
              <w:rPr>
                <w:sz w:val="18"/>
                <w:szCs w:val="18"/>
              </w:rPr>
              <w:t xml:space="preserve">Both</w:t>
            </w:r>
          </w:p>
        </w:tc>
        <w:tc>
          <w:tcPr>
            <w:tcW w:type="dxa" w:w="6060"/>
            <w:shd w:fill="F8D7DA" w:color="auto" w:val="clear"/>
          </w:tcPr>
          <w:p>
            <w:pPr>
              <w:spacing w:after="60" w:before="60"/>
            </w:pPr>
            <w:r>
              <w:rPr>
                <w:sz w:val="18"/>
                <w:szCs w:val="18"/>
              </w:rPr>
              <w:t xml:space="preserve">No consolidated Defaults &amp; Policies table (§12 equivalent)</w:t>
            </w:r>
          </w:p>
        </w:tc>
      </w:tr>
      <w:tr>
        <w:tc>
          <w:tcPr>
            <w:tcW w:type="dxa" w:w="900"/>
            <w:shd w:fill="F8D7DA" w:color="auto" w:val="clear"/>
          </w:tcPr>
          <w:p>
            <w:pPr>
              <w:spacing w:after="60" w:before="60"/>
            </w:pPr>
            <w:r>
              <w:rPr>
                <w:sz w:val="18"/>
                <w:szCs w:val="18"/>
              </w:rPr>
              <w:t xml:space="preserve">F-03</w:t>
            </w:r>
          </w:p>
        </w:tc>
        <w:tc>
          <w:tcPr>
            <w:tcW w:type="dxa" w:w="800"/>
            <w:shd w:fill="F8D7DA" w:color="auto" w:val="clear"/>
          </w:tcPr>
          <w:p>
            <w:pPr>
              <w:spacing w:after="60" w:before="60"/>
            </w:pPr>
            <w:r>
              <w:rPr>
                <w:sz w:val="18"/>
                <w:szCs w:val="18"/>
              </w:rPr>
              <w:t xml:space="preserve">P1</w:t>
            </w:r>
          </w:p>
        </w:tc>
        <w:tc>
          <w:tcPr>
            <w:tcW w:type="dxa" w:w="1600"/>
            <w:shd w:fill="F8D7DA" w:color="auto" w:val="clear"/>
          </w:tcPr>
          <w:p>
            <w:pPr>
              <w:spacing w:after="60" w:before="60"/>
            </w:pPr>
            <w:r>
              <w:rPr>
                <w:sz w:val="18"/>
                <w:szCs w:val="18"/>
              </w:rPr>
              <w:t xml:space="preserve">Both</w:t>
            </w:r>
          </w:p>
        </w:tc>
        <w:tc>
          <w:tcPr>
            <w:tcW w:type="dxa" w:w="6060"/>
            <w:shd w:fill="F8D7DA" w:color="auto" w:val="clear"/>
          </w:tcPr>
          <w:p>
            <w:pPr>
              <w:spacing w:after="60" w:before="60"/>
            </w:pPr>
            <w:r>
              <w:rPr>
                <w:sz w:val="18"/>
                <w:szCs w:val="18"/>
              </w:rPr>
              <w:t xml:space="preserve">Error taxonomy appendix not as complete as Desktop Appendix A</w:t>
            </w:r>
          </w:p>
        </w:tc>
      </w:tr>
      <w:tr>
        <w:tc>
          <w:tcPr>
            <w:tcW w:type="dxa" w:w="900"/>
            <w:shd w:fill="FFF3CD" w:color="auto" w:val="clear"/>
          </w:tcPr>
          <w:p>
            <w:pPr>
              <w:spacing w:after="60" w:before="60"/>
            </w:pPr>
            <w:r>
              <w:rPr>
                <w:sz w:val="18"/>
                <w:szCs w:val="18"/>
              </w:rPr>
              <w:t xml:space="preserve">F-04</w:t>
            </w:r>
          </w:p>
        </w:tc>
        <w:tc>
          <w:tcPr>
            <w:tcW w:type="dxa" w:w="800"/>
            <w:shd w:fill="FFF3CD" w:color="auto" w:val="clear"/>
          </w:tcPr>
          <w:p>
            <w:pPr>
              <w:spacing w:after="60" w:before="60"/>
            </w:pPr>
            <w:r>
              <w:rPr>
                <w:sz w:val="18"/>
                <w:szCs w:val="18"/>
              </w:rPr>
              <w:t xml:space="preserve">P2</w:t>
            </w:r>
          </w:p>
        </w:tc>
        <w:tc>
          <w:tcPr>
            <w:tcW w:type="dxa" w:w="1600"/>
            <w:shd w:fill="FFF3CD" w:color="auto" w:val="clear"/>
          </w:tcPr>
          <w:p>
            <w:pPr>
              <w:spacing w:after="60" w:before="60"/>
            </w:pPr>
            <w:r>
              <w:rPr>
                <w:sz w:val="18"/>
                <w:szCs w:val="18"/>
              </w:rPr>
              <w:t xml:space="preserve">Browser</w:t>
            </w:r>
          </w:p>
        </w:tc>
        <w:tc>
          <w:tcPr>
            <w:tcW w:type="dxa" w:w="6060"/>
            <w:shd w:fill="FFF3CD" w:color="auto" w:val="clear"/>
          </w:tcPr>
          <w:p>
            <w:pPr>
              <w:spacing w:after="60" w:before="60"/>
            </w:pPr>
            <w:r>
              <w:rPr>
                <w:sz w:val="18"/>
                <w:szCs w:val="18"/>
              </w:rPr>
              <w:t xml:space="preserve">No formal Supervisor integration requirement (DES-010 equivalent)</w:t>
            </w:r>
          </w:p>
        </w:tc>
      </w:tr>
      <w:tr>
        <w:tc>
          <w:tcPr>
            <w:tcW w:type="dxa" w:w="900"/>
            <w:shd w:fill="FFF3CD" w:color="auto" w:val="clear"/>
          </w:tcPr>
          <w:p>
            <w:pPr>
              <w:spacing w:after="60" w:before="60"/>
            </w:pPr>
            <w:r>
              <w:rPr>
                <w:sz w:val="18"/>
                <w:szCs w:val="18"/>
              </w:rPr>
              <w:t xml:space="preserve">F-05</w:t>
            </w:r>
          </w:p>
        </w:tc>
        <w:tc>
          <w:tcPr>
            <w:tcW w:type="dxa" w:w="800"/>
            <w:shd w:fill="FFF3CD" w:color="auto" w:val="clear"/>
          </w:tcPr>
          <w:p>
            <w:pPr>
              <w:spacing w:after="60" w:before="60"/>
            </w:pPr>
            <w:r>
              <w:rPr>
                <w:sz w:val="18"/>
                <w:szCs w:val="18"/>
              </w:rPr>
              <w:t xml:space="preserve">P2</w:t>
            </w:r>
          </w:p>
        </w:tc>
        <w:tc>
          <w:tcPr>
            <w:tcW w:type="dxa" w:w="1600"/>
            <w:shd w:fill="FFF3CD" w:color="auto" w:val="clear"/>
          </w:tcPr>
          <w:p>
            <w:pPr>
              <w:spacing w:after="60" w:before="60"/>
            </w:pPr>
            <w:r>
              <w:rPr>
                <w:sz w:val="18"/>
                <w:szCs w:val="18"/>
              </w:rPr>
              <w:t xml:space="preserve">Browser</w:t>
            </w:r>
          </w:p>
        </w:tc>
        <w:tc>
          <w:tcPr>
            <w:tcW w:type="dxa" w:w="6060"/>
            <w:shd w:fill="FFF3CD" w:color="auto" w:val="clear"/>
          </w:tcPr>
          <w:p>
            <w:pPr>
              <w:spacing w:after="60" w:before="60"/>
            </w:pPr>
            <w:r>
              <w:rPr>
                <w:sz w:val="18"/>
                <w:szCs w:val="18"/>
              </w:rPr>
              <w:t xml:space="preserve">Headed-mode foreground ownership lacks formal acceptance criteria</w:t>
            </w:r>
          </w:p>
        </w:tc>
      </w:tr>
      <w:tr>
        <w:tc>
          <w:tcPr>
            <w:tcW w:type="dxa" w:w="900"/>
            <w:shd w:fill="FFF3CD" w:color="auto" w:val="clear"/>
          </w:tcPr>
          <w:p>
            <w:pPr>
              <w:spacing w:after="60" w:before="60"/>
            </w:pPr>
            <w:r>
              <w:rPr>
                <w:sz w:val="18"/>
                <w:szCs w:val="18"/>
              </w:rPr>
              <w:t xml:space="preserve">F-06</w:t>
            </w:r>
          </w:p>
        </w:tc>
        <w:tc>
          <w:tcPr>
            <w:tcW w:type="dxa" w:w="800"/>
            <w:shd w:fill="FFF3CD" w:color="auto" w:val="clear"/>
          </w:tcPr>
          <w:p>
            <w:pPr>
              <w:spacing w:after="60" w:before="60"/>
            </w:pPr>
            <w:r>
              <w:rPr>
                <w:sz w:val="18"/>
                <w:szCs w:val="18"/>
              </w:rPr>
              <w:t xml:space="preserve">P2</w:t>
            </w:r>
          </w:p>
        </w:tc>
        <w:tc>
          <w:tcPr>
            <w:tcW w:type="dxa" w:w="1600"/>
            <w:shd w:fill="FFF3CD" w:color="auto" w:val="clear"/>
          </w:tcPr>
          <w:p>
            <w:pPr>
              <w:spacing w:after="60" w:before="60"/>
            </w:pPr>
            <w:r>
              <w:rPr>
                <w:sz w:val="18"/>
                <w:szCs w:val="18"/>
              </w:rPr>
              <w:t xml:space="preserve">Terminal</w:t>
            </w:r>
          </w:p>
        </w:tc>
        <w:tc>
          <w:tcPr>
            <w:tcW w:type="dxa" w:w="6060"/>
            <w:shd w:fill="FFF3CD" w:color="auto" w:val="clear"/>
          </w:tcPr>
          <w:p>
            <w:pPr>
              <w:spacing w:after="60" w:before="60"/>
            </w:pPr>
            <w:r>
              <w:rPr>
                <w:sz w:val="18"/>
                <w:szCs w:val="18"/>
              </w:rPr>
              <w:t xml:space="preserve">WSL distro isolation is in register only — must become a formal requirement</w:t>
            </w:r>
          </w:p>
        </w:tc>
      </w:tr>
      <w:tr>
        <w:tc>
          <w:tcPr>
            <w:tcW w:type="dxa" w:w="900"/>
            <w:shd w:fill="FFF3CD" w:color="auto" w:val="clear"/>
          </w:tcPr>
          <w:p>
            <w:pPr>
              <w:spacing w:after="60" w:before="60"/>
            </w:pPr>
            <w:r>
              <w:rPr>
                <w:sz w:val="18"/>
                <w:szCs w:val="18"/>
              </w:rPr>
              <w:t xml:space="preserve">F-07</w:t>
            </w:r>
          </w:p>
        </w:tc>
        <w:tc>
          <w:tcPr>
            <w:tcW w:type="dxa" w:w="800"/>
            <w:shd w:fill="FFF3CD" w:color="auto" w:val="clear"/>
          </w:tcPr>
          <w:p>
            <w:pPr>
              <w:spacing w:after="60" w:before="60"/>
            </w:pPr>
            <w:r>
              <w:rPr>
                <w:sz w:val="18"/>
                <w:szCs w:val="18"/>
              </w:rPr>
              <w:t xml:space="preserve">P2</w:t>
            </w:r>
          </w:p>
        </w:tc>
        <w:tc>
          <w:tcPr>
            <w:tcW w:type="dxa" w:w="1600"/>
            <w:shd w:fill="FFF3CD" w:color="auto" w:val="clear"/>
          </w:tcPr>
          <w:p>
            <w:pPr>
              <w:spacing w:after="60" w:before="60"/>
            </w:pPr>
            <w:r>
              <w:rPr>
                <w:sz w:val="18"/>
                <w:szCs w:val="18"/>
              </w:rPr>
              <w:t xml:space="preserve">Terminal</w:t>
            </w:r>
          </w:p>
        </w:tc>
        <w:tc>
          <w:tcPr>
            <w:tcW w:type="dxa" w:w="6060"/>
            <w:shd w:fill="FFF3CD" w:color="auto" w:val="clear"/>
          </w:tcPr>
          <w:p>
            <w:pPr>
              <w:spacing w:after="60" w:before="60"/>
            </w:pPr>
            <w:r>
              <w:rPr>
                <w:sz w:val="18"/>
                <w:szCs w:val="18"/>
              </w:rPr>
              <w:t xml:space="preserve">Stream buffering limits and encoding policy unspecified</w:t>
            </w:r>
          </w:p>
        </w:tc>
      </w:tr>
      <w:tr>
        <w:tc>
          <w:tcPr>
            <w:tcW w:type="dxa" w:w="900"/>
            <w:shd w:fill="D4EDDA" w:color="auto" w:val="clear"/>
          </w:tcPr>
          <w:p>
            <w:pPr>
              <w:spacing w:after="60" w:before="60"/>
            </w:pPr>
            <w:r>
              <w:rPr>
                <w:sz w:val="18"/>
                <w:szCs w:val="18"/>
              </w:rPr>
              <w:t xml:space="preserve">F-08</w:t>
            </w:r>
          </w:p>
        </w:tc>
        <w:tc>
          <w:tcPr>
            <w:tcW w:type="dxa" w:w="800"/>
            <w:shd w:fill="D4EDDA" w:color="auto" w:val="clear"/>
          </w:tcPr>
          <w:p>
            <w:pPr>
              <w:spacing w:after="60" w:before="60"/>
            </w:pPr>
            <w:r>
              <w:rPr>
                <w:sz w:val="18"/>
                <w:szCs w:val="18"/>
              </w:rPr>
              <w:t xml:space="preserve">P3</w:t>
            </w:r>
          </w:p>
        </w:tc>
        <w:tc>
          <w:tcPr>
            <w:tcW w:type="dxa" w:w="1600"/>
            <w:shd w:fill="D4EDDA" w:color="auto" w:val="clear"/>
          </w:tcPr>
          <w:p>
            <w:pPr>
              <w:spacing w:after="60" w:before="60"/>
            </w:pPr>
            <w:r>
              <w:rPr>
                <w:sz w:val="18"/>
                <w:szCs w:val="18"/>
              </w:rPr>
              <w:t xml:space="preserve">Both</w:t>
            </w:r>
          </w:p>
        </w:tc>
        <w:tc>
          <w:tcPr>
            <w:tcW w:type="dxa" w:w="6060"/>
            <w:shd w:fill="D4EDDA" w:color="auto" w:val="clear"/>
          </w:tcPr>
          <w:p>
            <w:pPr>
              <w:spacing w:after="60" w:before="60"/>
            </w:pPr>
            <w:r>
              <w:rPr>
                <w:sz w:val="18"/>
                <w:szCs w:val="18"/>
              </w:rPr>
              <w:t xml:space="preserve">POC-01–POC-10 gate applicability not explicitly listed per spec</w:t>
            </w:r>
          </w:p>
        </w:tc>
      </w:tr>
      <w:tr>
        <w:tc>
          <w:tcPr>
            <w:tcW w:type="dxa" w:w="900"/>
            <w:shd w:fill="D4EDDA" w:color="auto" w:val="clear"/>
          </w:tcPr>
          <w:p>
            <w:pPr>
              <w:spacing w:after="60" w:before="60"/>
            </w:pPr>
            <w:r>
              <w:rPr>
                <w:sz w:val="18"/>
                <w:szCs w:val="18"/>
              </w:rPr>
              <w:t xml:space="preserve">F-09</w:t>
            </w:r>
          </w:p>
        </w:tc>
        <w:tc>
          <w:tcPr>
            <w:tcW w:type="dxa" w:w="800"/>
            <w:shd w:fill="D4EDDA" w:color="auto" w:val="clear"/>
          </w:tcPr>
          <w:p>
            <w:pPr>
              <w:spacing w:after="60" w:before="60"/>
            </w:pPr>
            <w:r>
              <w:rPr>
                <w:sz w:val="18"/>
                <w:szCs w:val="18"/>
              </w:rPr>
              <w:t xml:space="preserve">P3</w:t>
            </w:r>
          </w:p>
        </w:tc>
        <w:tc>
          <w:tcPr>
            <w:tcW w:type="dxa" w:w="1600"/>
            <w:shd w:fill="D4EDDA" w:color="auto" w:val="clear"/>
          </w:tcPr>
          <w:p>
            <w:pPr>
              <w:spacing w:after="60" w:before="60"/>
            </w:pPr>
            <w:r>
              <w:rPr>
                <w:sz w:val="18"/>
                <w:szCs w:val="18"/>
              </w:rPr>
              <w:t xml:space="preserve">Both</w:t>
            </w:r>
          </w:p>
        </w:tc>
        <w:tc>
          <w:tcPr>
            <w:tcW w:type="dxa" w:w="6060"/>
            <w:shd w:fill="D4EDDA" w:color="auto" w:val="clear"/>
          </w:tcPr>
          <w:p>
            <w:pPr>
              <w:spacing w:after="60" w:before="60"/>
            </w:pPr>
            <w:r>
              <w:rPr>
                <w:sz w:val="18"/>
                <w:szCs w:val="18"/>
              </w:rPr>
              <w:t xml:space="preserve">Normative selector / locator schema not provided (§11 equivalent)</w:t>
            </w:r>
          </w:p>
        </w:tc>
      </w:tr>
    </w:tbl>
    <w:p>
      <w:pPr>
        <w:spacing w:after="160"/>
      </w:pPr>
      <w:r>
        <w:t xml:space="preserve"> </w:t>
      </w:r>
    </w:p>
    <w:p>
      <w:pPr>
        <w:pStyle w:val="Heading1"/>
        <w:spacing w:after="120" w:before="320"/>
      </w:pPr>
      <w:r>
        <w:t xml:space="preserve">§2 — Scope of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shd w:fill="1F3864" w:color="auto" w:val="clear"/>
          </w:tcPr>
          <w:p>
            <w:pPr>
              <w:spacing w:after="60" w:before="60"/>
            </w:pPr>
            <w:r>
              <w:rPr>
                <w:b/>
                <w:bCs/>
                <w:color w:val="FFFFFF"/>
                <w:sz w:val="18"/>
                <w:szCs w:val="18"/>
              </w:rPr>
              <w:t xml:space="preserve">Document</w:t>
            </w:r>
          </w:p>
        </w:tc>
        <w:tc>
          <w:tcPr>
            <w:tcW w:type="dxa" w:w="1000"/>
            <w:shd w:fill="1F3864" w:color="auto" w:val="clear"/>
          </w:tcPr>
          <w:p>
            <w:pPr>
              <w:spacing w:after="60" w:before="60"/>
            </w:pPr>
            <w:r>
              <w:rPr>
                <w:b/>
                <w:bCs/>
                <w:color w:val="FFFFFF"/>
                <w:sz w:val="18"/>
                <w:szCs w:val="18"/>
              </w:rPr>
              <w:t xml:space="preserve">Version</w:t>
            </w:r>
          </w:p>
        </w:tc>
        <w:tc>
          <w:tcPr>
            <w:tcW w:type="dxa" w:w="4860"/>
            <w:shd w:fill="1F3864" w:color="auto" w:val="clear"/>
          </w:tcPr>
          <w:p>
            <w:pPr>
              <w:spacing w:after="60" w:before="60"/>
            </w:pPr>
            <w:r>
              <w:rPr>
                <w:b/>
                <w:bCs/>
                <w:color w:val="FFFFFF"/>
                <w:sz w:val="18"/>
                <w:szCs w:val="18"/>
              </w:rPr>
              <w:t xml:space="preserve">Role in this review</w:t>
            </w:r>
          </w:p>
        </w:tc>
      </w:tr>
      <w:tr>
        <w:tc>
          <w:tcPr>
            <w:tcW w:type="dxa" w:w="0P"/>
            <w:shd w:fill="F2F2F2" w:color="auto" w:val="clear"/>
          </w:tcPr>
          <w:p>
            <w:pPr>
              <w:spacing w:after="60" w:before="60"/>
            </w:pPr>
            <w:r>
              <w:rPr>
                <w:sz w:val="18"/>
                <w:szCs w:val="18"/>
              </w:rPr>
              <w:t xml:space="preserve">Tracto_Browser_Runtime_Functional_Spec_v1_1_Aligned.docx</w:t>
            </w:r>
          </w:p>
        </w:tc>
        <w:tc>
          <w:tcPr>
            <w:tcW w:type="dxa" w:w="0r"/>
          </w:tcPr>
          <w:p>
            <w:pPr>
              <w:spacing w:after="60" w:before="60"/>
            </w:pPr>
            <w:r>
              <w:rPr>
                <w:sz w:val="18"/>
                <w:szCs w:val="18"/>
              </w:rPr>
              <w:t xml:space="preserve">v1.1</w:t>
            </w:r>
          </w:p>
        </w:tc>
      </w:tr>
      <w:tr>
        <w:tc>
          <w:tcPr>
            <w:tcW w:type="dxa" w:w="0P"/>
            <w:shd w:fill="F2F2F2" w:color="auto" w:val="clear"/>
          </w:tcPr>
          <w:p>
            <w:pPr>
              <w:spacing w:after="60" w:before="60"/>
            </w:pPr>
            <w:r>
              <w:rPr>
                <w:sz w:val="18"/>
                <w:szCs w:val="18"/>
              </w:rPr>
              <w:t xml:space="preserve">Tracto_Terminal_Runtime_Functional_Spec_v1_1_Aligned.docx</w:t>
            </w:r>
          </w:p>
        </w:tc>
        <w:tc>
          <w:tcPr>
            <w:tcW w:type="dxa" w:w="0r"/>
          </w:tcPr>
          <w:p>
            <w:pPr>
              <w:spacing w:after="60" w:before="60"/>
            </w:pPr>
            <w:r>
              <w:rPr>
                <w:sz w:val="18"/>
                <w:szCs w:val="18"/>
              </w:rPr>
              <w:t xml:space="preserve">v1.1</w:t>
            </w:r>
          </w:p>
        </w:tc>
      </w:tr>
      <w:tr>
        <w:tc>
          <w:tcPr>
            <w:tcW w:type="dxa" w:w="0G"/>
            <w:shd w:fill="F2F2F2" w:color="auto" w:val="clear"/>
          </w:tcPr>
          <w:p>
            <w:pPr>
              <w:spacing w:after="60" w:before="60"/>
            </w:pPr>
            <w:r>
              <w:rPr>
                <w:sz w:val="18"/>
                <w:szCs w:val="18"/>
              </w:rPr>
              <w:t xml:space="preserve">Tracto_Architecture_v1_2A_Independent_Runtime_Amendment.docx</w:t>
            </w:r>
          </w:p>
        </w:tc>
        <w:tc>
          <w:tcPr>
            <w:tcW w:type="dxa" w:w="0o"/>
          </w:tcPr>
          <w:p>
            <w:pPr>
              <w:spacing w:after="60" w:before="60"/>
            </w:pPr>
            <w:r>
              <w:rPr>
                <w:sz w:val="18"/>
                <w:szCs w:val="18"/>
              </w:rPr>
              <w:t xml:space="preserve">v1.2A</w:t>
            </w:r>
          </w:p>
        </w:tc>
      </w:tr>
      <w:tr>
        <w:tc>
          <w:tcPr>
            <w:tcW w:type="dxa" w:w="0R"/>
            <w:shd w:fill="F2F2F2" w:color="auto" w:val="clear"/>
          </w:tcPr>
          <w:p>
            <w:pPr>
              <w:spacing w:after="60" w:before="60"/>
            </w:pPr>
            <w:r>
              <w:rPr>
                <w:sz w:val="18"/>
                <w:szCs w:val="18"/>
              </w:rPr>
              <w:t xml:space="preserve">Tracto_Desktop_Runtime_Functional_Spec_v1_1.html</w:t>
            </w:r>
          </w:p>
        </w:tc>
        <w:tc>
          <w:tcPr>
            <w:tcW w:type="dxa" w:w="0e"/>
          </w:tcPr>
          <w:p>
            <w:pPr>
              <w:spacing w:after="60" w:before="60"/>
            </w:pPr>
            <w:r>
              <w:rPr>
                <w:sz w:val="18"/>
                <w:szCs w:val="18"/>
              </w:rPr>
              <w:t xml:space="preserve">v1.1</w:t>
            </w:r>
          </w:p>
        </w:tc>
      </w:tr>
      <w:tr>
        <w:tc>
          <w:tcPr>
            <w:tcW w:type="dxa" w:w="0S"/>
            <w:shd w:fill="F2F2F2" w:color="auto" w:val="clear"/>
          </w:tcPr>
          <w:p>
            <w:pPr>
              <w:spacing w:after="60" w:before="60"/>
            </w:pPr>
            <w:r>
              <w:rPr>
                <w:sz w:val="18"/>
                <w:szCs w:val="18"/>
              </w:rPr>
              <w:t xml:space="preserve">Tracto_Browser_Terminal_Alignment_Register.md</w:t>
            </w:r>
          </w:p>
        </w:tc>
        <w:tc>
          <w:tcPr>
            <w:tcW w:type="dxa" w:w="0u"/>
          </w:tcPr>
          <w:p>
            <w:pPr>
              <w:spacing w:after="60" w:before="60"/>
            </w:pPr>
            <w:r>
              <w:rPr>
                <w:sz w:val="18"/>
                <w:szCs w:val="18"/>
              </w:rPr>
              <w:t xml:space="preserve">24 Oct 2026</w:t>
            </w:r>
          </w:p>
        </w:tc>
      </w:tr>
    </w:tbl>
    <w:p>
      <w:pPr>
        <w:spacing w:after="160"/>
      </w:pPr>
      <w:r>
        <w:t xml:space="preserve"> </w:t>
      </w:r>
    </w:p>
    <w:p>
      <w:pPr>
        <w:pStyle w:val="Heading1"/>
        <w:spacing w:after="120" w:before="320"/>
      </w:pPr>
      <w:r>
        <w:t xml:space="preserve">§3 — Architecture v1.2A Conformance</w:t>
      </w:r>
    </w:p>
    <w:p>
      <w:pPr>
        <w:spacing w:after="100"/>
      </w:pPr>
      <w:r>
        <w:rPr>
          <w:sz w:val="20"/>
          <w:szCs w:val="20"/>
        </w:rPr>
        <w:t xml:space="preserve">The table below maps the key architectural decisions from Architecture v1.2A to each runtime spec, noting conformance status.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380"/>
        <w:gridCol w:w="2380"/>
      </w:tblGrid>
      <w:tr>
        <w:trPr>
          <w:tblHeader/>
        </w:trPr>
        <w:tc>
          <w:tcPr>
            <w:tcW w:type="dxa" w:w="700"/>
            <w:shd w:fill="1F3864" w:color="auto" w:val="clear"/>
          </w:tcPr>
          <w:p>
            <w:pPr>
              <w:spacing w:after="60" w:before="60"/>
            </w:pPr>
            <w:r>
              <w:rPr>
                <w:b/>
                <w:bCs/>
                <w:color w:val="FFFFFF"/>
                <w:sz w:val="18"/>
                <w:szCs w:val="18"/>
              </w:rPr>
              <w:t xml:space="preserve">AD #</w:t>
            </w:r>
          </w:p>
        </w:tc>
        <w:tc>
          <w:tcPr>
            <w:tcW w:type="dxa" w:w="3900"/>
            <w:shd w:fill="1F3864" w:color="auto" w:val="clear"/>
          </w:tcPr>
          <w:p>
            <w:pPr>
              <w:spacing w:after="60" w:before="60"/>
            </w:pPr>
            <w:r>
              <w:rPr>
                <w:b/>
                <w:bCs/>
                <w:color w:val="FFFFFF"/>
                <w:sz w:val="18"/>
                <w:szCs w:val="18"/>
              </w:rPr>
              <w:t xml:space="preserve">Architectural Decision</w:t>
            </w:r>
          </w:p>
        </w:tc>
        <w:tc>
          <w:tcPr>
            <w:tcW w:type="dxa" w:w="2380"/>
            <w:shd w:fill="1F3864" w:color="auto" w:val="clear"/>
          </w:tcPr>
          <w:p>
            <w:pPr>
              <w:spacing w:after="60" w:before="60"/>
            </w:pPr>
            <w:r>
              <w:rPr>
                <w:b/>
                <w:bCs/>
                <w:color w:val="FFFFFF"/>
                <w:sz w:val="18"/>
                <w:szCs w:val="18"/>
              </w:rPr>
              <w:t xml:space="preserve">Browser</w:t>
            </w:r>
          </w:p>
        </w:tc>
        <w:tc>
          <w:tcPr>
            <w:tcW w:type="dxa" w:w="2380"/>
            <w:shd w:fill="1F3864" w:color="auto" w:val="clear"/>
          </w:tcPr>
          <w:p>
            <w:pPr>
              <w:spacing w:after="60" w:before="60"/>
            </w:pPr>
            <w:r>
              <w:rPr>
                <w:b/>
                <w:bCs/>
                <w:color w:val="FFFFFF"/>
                <w:sz w:val="18"/>
                <w:szCs w:val="18"/>
              </w:rPr>
              <w:t xml:space="preserve">Terminal</w:t>
            </w:r>
          </w:p>
        </w:tc>
      </w:tr>
      <w:tr>
        <w:tc>
          <w:tcPr>
            <w:tcW w:type="dxa" w:w="700"/>
          </w:tcPr>
          <w:p>
            <w:pPr>
              <w:spacing w:after="60" w:before="60"/>
            </w:pPr>
            <w:r>
              <w:rPr>
                <w:sz w:val="18"/>
                <w:szCs w:val="18"/>
              </w:rPr>
              <w:t xml:space="preserve">AD-01</w:t>
            </w:r>
          </w:p>
        </w:tc>
        <w:tc>
          <w:tcPr>
            <w:tcW w:type="dxa" w:w="3900"/>
          </w:tcPr>
          <w:p>
            <w:pPr>
              <w:spacing w:after="60" w:before="60"/>
            </w:pPr>
            <w:r>
              <w:rPr>
                <w:sz w:val="18"/>
                <w:szCs w:val="18"/>
              </w:rPr>
              <w:t xml:space="preserve">Three independent .NET worker applications; no shared runtime binary</w:t>
            </w:r>
          </w:p>
        </w:tc>
        <w:tc>
          <w:tcPr>
            <w:tcW w:type="dxa" w:w="2380"/>
          </w:tcPr>
          <w:p>
            <w:pPr>
              <w:spacing w:after="60" w:before="60"/>
            </w:pPr>
            <w:r>
              <w:rPr>
                <w:sz w:val="18"/>
                <w:szCs w:val="18"/>
              </w:rPr>
              <w:t xml:space="preserve">✓ Stated explicitly</w:t>
            </w:r>
          </w:p>
        </w:tc>
        <w:tc>
          <w:tcPr>
            <w:tcW w:type="dxa" w:w="2380"/>
          </w:tcPr>
          <w:p>
            <w:pPr>
              <w:spacing w:after="60" w:before="60"/>
            </w:pPr>
            <w:r>
              <w:rPr>
                <w:sz w:val="18"/>
                <w:szCs w:val="18"/>
              </w:rPr>
              <w:t xml:space="preserve">✓ Stated explicitly</w:t>
            </w:r>
          </w:p>
        </w:tc>
      </w:tr>
      <w:tr>
        <w:tc>
          <w:tcPr>
            <w:tcW w:type="dxa" w:w="700"/>
          </w:tcPr>
          <w:p>
            <w:pPr>
              <w:spacing w:after="60" w:before="60"/>
            </w:pPr>
            <w:r>
              <w:rPr>
                <w:sz w:val="18"/>
                <w:szCs w:val="18"/>
              </w:rPr>
              <w:t xml:space="preserve">AD-03</w:t>
            </w:r>
          </w:p>
        </w:tc>
        <w:tc>
          <w:tcPr>
            <w:tcW w:type="dxa" w:w="3900"/>
          </w:tcPr>
          <w:p>
            <w:pPr>
              <w:spacing w:after="60" w:before="60"/>
            </w:pPr>
            <w:r>
              <w:rPr>
                <w:sz w:val="18"/>
                <w:szCs w:val="18"/>
              </w:rPr>
              <w:t xml:space="preserve">Workers pull jobs; no inbound connections</w:t>
            </w:r>
          </w:p>
        </w:tc>
        <w:tc>
          <w:tcPr>
            <w:tcW w:type="dxa" w:w="2380"/>
          </w:tcPr>
          <w:p>
            <w:pPr>
              <w:spacing w:after="60" w:before="60"/>
            </w:pPr>
            <w:r>
              <w:rPr>
                <w:sz w:val="18"/>
                <w:szCs w:val="18"/>
              </w:rPr>
              <w:t xml:space="preserve">✓ CEC-HOST-002</w:t>
            </w:r>
          </w:p>
        </w:tc>
        <w:tc>
          <w:tcPr>
            <w:tcW w:type="dxa" w:w="2380"/>
          </w:tcPr>
          <w:p>
            <w:pPr>
              <w:spacing w:after="60" w:before="60"/>
            </w:pPr>
            <w:r>
              <w:rPr>
                <w:sz w:val="18"/>
                <w:szCs w:val="18"/>
              </w:rPr>
              <w:t xml:space="preserve">✓ CEC-HOST-002</w:t>
            </w:r>
          </w:p>
        </w:tc>
      </w:tr>
      <w:tr>
        <w:tc>
          <w:tcPr>
            <w:tcW w:type="dxa" w:w="700"/>
          </w:tcPr>
          <w:p>
            <w:pPr>
              <w:spacing w:after="60" w:before="60"/>
            </w:pPr>
            <w:r>
              <w:rPr>
                <w:sz w:val="18"/>
                <w:szCs w:val="18"/>
              </w:rPr>
              <w:t xml:space="preserve">AD-05</w:t>
            </w:r>
          </w:p>
        </w:tc>
        <w:tc>
          <w:tcPr>
            <w:tcW w:type="dxa" w:w="3900"/>
          </w:tcPr>
          <w:p>
            <w:pPr>
              <w:spacing w:after="60" w:before="60"/>
            </w:pPr>
            <w:r>
              <w:rPr>
                <w:sz w:val="18"/>
                <w:szCs w:val="18"/>
              </w:rPr>
              <w:t xml:space="preserve">Only service.invoke for business API calls; no direct third-party HTTP</w:t>
            </w:r>
          </w:p>
        </w:tc>
        <w:tc>
          <w:tcPr>
            <w:tcW w:type="dxa" w:w="2380"/>
          </w:tcPr>
          <w:p>
            <w:pPr>
              <w:spacing w:after="60" w:before="60"/>
            </w:pPr>
            <w:r>
              <w:rPr>
                <w:sz w:val="18"/>
                <w:szCs w:val="18"/>
              </w:rPr>
              <w:t xml:space="preserve">✓ Prohibited in scope and safeguards</w:t>
            </w:r>
          </w:p>
        </w:tc>
        <w:tc>
          <w:tcPr>
            <w:tcW w:type="dxa" w:w="2380"/>
          </w:tcPr>
          <w:p>
            <w:pPr>
              <w:spacing w:after="60" w:before="60"/>
            </w:pPr>
            <w:r>
              <w:rPr>
                <w:sz w:val="18"/>
                <w:szCs w:val="18"/>
              </w:rPr>
              <w:t xml:space="preserve">✓ No curl/wget/PS web commands</w:t>
            </w:r>
          </w:p>
        </w:tc>
      </w:tr>
      <w:tr>
        <w:tc>
          <w:tcPr>
            <w:tcW w:type="dxa" w:w="700"/>
          </w:tcPr>
          <w:p>
            <w:pPr>
              <w:spacing w:after="60" w:before="60"/>
            </w:pPr>
            <w:r>
              <w:rPr>
                <w:sz w:val="18"/>
                <w:szCs w:val="18"/>
              </w:rPr>
              <w:t xml:space="preserve">AD-07</w:t>
            </w:r>
          </w:p>
        </w:tc>
        <w:tc>
          <w:tcPr>
            <w:tcW w:type="dxa" w:w="3900"/>
          </w:tcPr>
          <w:p>
            <w:pPr>
              <w:spacing w:after="60" w:before="60"/>
            </w:pPr>
            <w:r>
              <w:rPr>
                <w:sz w:val="18"/>
                <w:szCs w:val="18"/>
              </w:rPr>
              <w:t xml:space="preserve">One active job per registered worker in v1</w:t>
            </w:r>
          </w:p>
        </w:tc>
        <w:tc>
          <w:tcPr>
            <w:tcW w:type="dxa" w:w="2380"/>
          </w:tcPr>
          <w:p>
            <w:pPr>
              <w:spacing w:after="60" w:before="60"/>
            </w:pPr>
            <w:r>
              <w:rPr>
                <w:sz w:val="18"/>
                <w:szCs w:val="18"/>
              </w:rPr>
              <w:t xml:space="preserve">✓ Explicit</w:t>
            </w:r>
          </w:p>
        </w:tc>
        <w:tc>
          <w:tcPr>
            <w:tcW w:type="dxa" w:w="2380"/>
          </w:tcPr>
          <w:p>
            <w:pPr>
              <w:spacing w:after="60" w:before="60"/>
            </w:pPr>
            <w:r>
              <w:rPr>
                <w:sz w:val="18"/>
                <w:szCs w:val="18"/>
              </w:rPr>
              <w:t xml:space="preserve">✓ Explicit</w:t>
            </w:r>
          </w:p>
        </w:tc>
      </w:tr>
      <w:tr>
        <w:tc>
          <w:tcPr>
            <w:tcW w:type="dxa" w:w="700"/>
          </w:tcPr>
          <w:p>
            <w:pPr>
              <w:spacing w:after="60" w:before="60"/>
            </w:pPr>
            <w:r>
              <w:rPr>
                <w:sz w:val="18"/>
                <w:szCs w:val="18"/>
              </w:rPr>
              <w:t xml:space="preserve">AD-08</w:t>
            </w:r>
          </w:p>
        </w:tc>
        <w:tc>
          <w:tcPr>
            <w:tcW w:type="dxa" w:w="3900"/>
          </w:tcPr>
          <w:p>
            <w:pPr>
              <w:spacing w:after="60" w:before="60"/>
            </w:pPr>
            <w:r>
              <w:rPr>
                <w:sz w:val="18"/>
                <w:szCs w:val="18"/>
              </w:rPr>
              <w:t xml:space="preserve">CEC v1.0.1 as normative contract; Stage 1 NuGet packages</w:t>
            </w:r>
          </w:p>
        </w:tc>
        <w:tc>
          <w:tcPr>
            <w:tcW w:type="dxa" w:w="2380"/>
          </w:tcPr>
          <w:p>
            <w:pPr>
              <w:spacing w:after="60" w:before="60"/>
            </w:pPr>
            <w:r>
              <w:rPr>
                <w:sz w:val="18"/>
                <w:szCs w:val="18"/>
              </w:rPr>
              <w:t xml:space="preserve">✓ Aligned</w:t>
            </w:r>
          </w:p>
        </w:tc>
        <w:tc>
          <w:tcPr>
            <w:tcW w:type="dxa" w:w="2380"/>
          </w:tcPr>
          <w:p>
            <w:pPr>
              <w:spacing w:after="60" w:before="60"/>
            </w:pPr>
            <w:r>
              <w:rPr>
                <w:sz w:val="18"/>
                <w:szCs w:val="18"/>
              </w:rPr>
              <w:t xml:space="preserve">✓ Aligned</w:t>
            </w:r>
          </w:p>
        </w:tc>
      </w:tr>
      <w:tr>
        <w:tc>
          <w:tcPr>
            <w:tcW w:type="dxa" w:w="700"/>
          </w:tcPr>
          <w:p>
            <w:pPr>
              <w:spacing w:after="60" w:before="60"/>
            </w:pPr>
            <w:r>
              <w:rPr>
                <w:sz w:val="18"/>
                <w:szCs w:val="18"/>
              </w:rPr>
              <w:t xml:space="preserve">AD-10</w:t>
            </w:r>
          </w:p>
        </w:tc>
        <w:tc>
          <w:tcPr>
            <w:tcW w:type="dxa" w:w="3900"/>
          </w:tcPr>
          <w:p>
            <w:pPr>
              <w:spacing w:after="60" w:before="60"/>
            </w:pPr>
            <w:r>
              <w:rPr>
                <w:sz w:val="18"/>
                <w:szCs w:val="18"/>
              </w:rPr>
              <w:t xml:space="preserve">UNKNOWN + unknownReason for irreversible uncertain actions</w:t>
            </w:r>
          </w:p>
        </w:tc>
        <w:tc>
          <w:tcPr>
            <w:tcW w:type="dxa" w:w="2380"/>
          </w:tcPr>
          <w:p>
            <w:pPr>
              <w:spacing w:after="60" w:before="60"/>
            </w:pPr>
            <w:r>
              <w:rPr>
                <w:sz w:val="18"/>
                <w:szCs w:val="18"/>
              </w:rPr>
              <w:t xml:space="preserve">✓ Correct pattern throughout</w:t>
            </w:r>
          </w:p>
        </w:tc>
        <w:tc>
          <w:tcPr>
            <w:tcW w:type="dxa" w:w="2380"/>
          </w:tcPr>
          <w:p>
            <w:pPr>
              <w:spacing w:after="60" w:before="60"/>
            </w:pPr>
            <w:r>
              <w:rPr>
                <w:sz w:val="18"/>
                <w:szCs w:val="18"/>
              </w:rPr>
              <w:t xml:space="preserve">✓ Correct pattern throughout</w:t>
            </w:r>
          </w:p>
        </w:tc>
      </w:tr>
      <w:tr>
        <w:tc>
          <w:tcPr>
            <w:tcW w:type="dxa" w:w="700"/>
          </w:tcPr>
          <w:p>
            <w:pPr>
              <w:spacing w:after="60" w:before="60"/>
            </w:pPr>
            <w:r>
              <w:rPr>
                <w:sz w:val="18"/>
                <w:szCs w:val="18"/>
              </w:rPr>
              <w:t xml:space="preserve">AD-13</w:t>
            </w:r>
          </w:p>
        </w:tc>
        <w:tc>
          <w:tcPr>
            <w:tcW w:type="dxa" w:w="3900"/>
          </w:tcPr>
          <w:p>
            <w:pPr>
              <w:spacing w:after="60" w:before="60"/>
            </w:pPr>
            <w:r>
              <w:rPr>
                <w:sz w:val="18"/>
                <w:szCs w:val="18"/>
              </w:rPr>
              <w:t xml:space="preserve">Isolated Windows Host Supervisor; Desktop interactive executor owns GUI session</w:t>
            </w:r>
          </w:p>
        </w:tc>
        <w:tc>
          <w:tcPr>
            <w:tcW w:type="dxa" w:w="2380"/>
            <w:shd w:fill="FFF3CD" w:color="auto" w:val="clear"/>
          </w:tcPr>
          <w:p>
            <w:pPr>
              <w:spacing w:after="60" w:before="60"/>
            </w:pPr>
            <w:r>
              <w:rPr>
                <w:sz w:val="18"/>
                <w:szCs w:val="18"/>
              </w:rPr>
              <w:t xml:space="preserve">⚠ Referenced; no formal requirement</w:t>
            </w:r>
          </w:p>
        </w:tc>
        <w:tc>
          <w:tcPr>
            <w:tcW w:type="dxa" w:w="2380"/>
            <w:shd w:fill="FFF3CD" w:color="auto" w:val="clear"/>
          </w:tcPr>
          <w:p>
            <w:pPr>
              <w:spacing w:after="60" w:before="60"/>
            </w:pPr>
            <w:r>
              <w:rPr>
                <w:sz w:val="18"/>
                <w:szCs w:val="18"/>
              </w:rPr>
              <w:t xml:space="preserve">⚠ Referenced; no formal requirement</w:t>
            </w:r>
          </w:p>
        </w:tc>
      </w:tr>
      <w:tr>
        <w:tc>
          <w:tcPr>
            <w:tcW w:type="dxa" w:w="700"/>
          </w:tcPr>
          <w:p>
            <w:pPr>
              <w:spacing w:after="60" w:before="60"/>
            </w:pPr>
            <w:r>
              <w:rPr>
                <w:sz w:val="18"/>
                <w:szCs w:val="18"/>
              </w:rPr>
              <w:t xml:space="preserve">AD-14</w:t>
            </w:r>
          </w:p>
        </w:tc>
        <w:tc>
          <w:tcPr>
            <w:tcW w:type="dxa" w:w="3900"/>
          </w:tcPr>
          <w:p>
            <w:pPr>
              <w:spacing w:after="60" w:before="60"/>
            </w:pPr>
            <w:r>
              <w:rPr>
                <w:sz w:val="18"/>
                <w:szCs w:val="18"/>
              </w:rPr>
              <w:t xml:space="preserve">Windows DPAPI CurrentUser for secret resolution</w:t>
            </w:r>
          </w:p>
        </w:tc>
        <w:tc>
          <w:tcPr>
            <w:tcW w:type="dxa" w:w="2380"/>
            <w:shd w:fill="FFF3CD" w:color="auto" w:val="clear"/>
          </w:tcPr>
          <w:p>
            <w:pPr>
              <w:spacing w:after="60" w:before="60"/>
            </w:pPr>
            <w:r>
              <w:rPr>
                <w:sz w:val="18"/>
                <w:szCs w:val="18"/>
              </w:rPr>
              <w:t xml:space="preserve">⚠ storageState noted sensitive; DPAPI treatment implicit</w:t>
            </w:r>
          </w:p>
        </w:tc>
        <w:tc>
          <w:tcPr>
            <w:tcW w:type="dxa" w:w="2380"/>
            <w:shd w:fill="FFF3CD" w:color="auto" w:val="clear"/>
          </w:tcPr>
          <w:p>
            <w:pPr>
              <w:spacing w:after="60" w:before="60"/>
            </w:pPr>
            <w:r>
              <w:rPr>
                <w:sz w:val="18"/>
                <w:szCs w:val="18"/>
              </w:rPr>
              <w:t xml:space="preserve">⚠ secretRef noted; DPAPI prohibition on Linux implicit only</w:t>
            </w:r>
          </w:p>
        </w:tc>
      </w:tr>
      <w:tr>
        <w:tc>
          <w:tcPr>
            <w:tcW w:type="dxa" w:w="700"/>
          </w:tcPr>
          <w:p>
            <w:pPr>
              <w:spacing w:after="60" w:before="60"/>
            </w:pPr>
            <w:r>
              <w:rPr>
                <w:sz w:val="18"/>
                <w:szCs w:val="18"/>
              </w:rPr>
              <w:t xml:space="preserve">POC gates</w:t>
            </w:r>
          </w:p>
        </w:tc>
        <w:tc>
          <w:tcPr>
            <w:tcW w:type="dxa" w:w="3900"/>
          </w:tcPr>
          <w:p>
            <w:pPr>
              <w:spacing w:after="60" w:before="60"/>
            </w:pPr>
            <w:r>
              <w:rPr>
                <w:sz w:val="18"/>
                <w:szCs w:val="18"/>
              </w:rPr>
              <w:t xml:space="preserve">POC-01–POC-10 must be satisfied before conditional freeze</w:t>
            </w:r>
          </w:p>
        </w:tc>
        <w:tc>
          <w:tcPr>
            <w:tcW w:type="dxa" w:w="2380"/>
            <w:shd w:fill="FFF3CD" w:color="auto" w:val="clear"/>
          </w:tcPr>
          <w:p>
            <w:pPr>
              <w:spacing w:after="60" w:before="60"/>
            </w:pPr>
            <w:r>
              <w:rPr>
                <w:sz w:val="18"/>
                <w:szCs w:val="18"/>
              </w:rPr>
              <w:t xml:space="preserve">⚠ Not listed per runtime</w:t>
            </w:r>
          </w:p>
        </w:tc>
        <w:tc>
          <w:tcPr>
            <w:tcW w:type="dxa" w:w="2380"/>
            <w:shd w:fill="FFF3CD" w:color="auto" w:val="clear"/>
          </w:tcPr>
          <w:p>
            <w:pPr>
              <w:spacing w:after="60" w:before="60"/>
            </w:pPr>
            <w:r>
              <w:rPr>
                <w:sz w:val="18"/>
                <w:szCs w:val="18"/>
              </w:rPr>
              <w:t xml:space="preserve">⚠ Not listed per runtime</w:t>
            </w:r>
          </w:p>
        </w:tc>
      </w:tr>
    </w:tbl>
    <w:p>
      <w:pPr>
        <w:spacing w:after="160"/>
      </w:pPr>
      <w:r>
        <w:t xml:space="preserve"> </w:t>
      </w:r>
    </w:p>
    <w:p>
      <w:pPr>
        <w:pStyle w:val="Heading1"/>
        <w:spacing w:after="120" w:before="320"/>
      </w:pPr>
      <w:r>
        <w:t xml:space="preserve">§4 — Strengths and Positive Findings</w:t>
      </w:r>
    </w:p>
    <w:p>
      <w:pPr>
        <w:pStyle w:val="Heading2"/>
        <w:spacing w:after="80" w:before="240"/>
      </w:pPr>
      <w:r>
        <w:t xml:space="preserve">4.1 Browser Runtime</w:t>
      </w:r>
    </w:p>
    <w:p>
      <w:pPr>
        <w:spacing w:after="60"/>
        <w:ind w:left="360"/>
      </w:pPr>
      <w:r>
        <w:rPr>
          <w:sz w:val="19"/>
          <w:szCs w:val="19"/>
        </w:rPr>
        <w:t xml:space="preserve">•  Semantic locator priority (ARIA role → data-testid → label/text → CSS) correctly mirrors the Desktop UIA-first principle — accessibility semantics over visual coordinates.</w:t>
      </w:r>
    </w:p>
    <w:p>
      <w:pPr>
        <w:spacing w:after="60"/>
        <w:ind w:left="360"/>
      </w:pPr>
      <w:r>
        <w:rPr>
          <w:sz w:val="19"/>
          <w:szCs w:val="19"/>
        </w:rPr>
        <w:t xml:space="preserve">•  Prohibition on user-authored page.evaluate, arbitrary fetch and Playwright APIRequest correctly closes the "escape to direct API" loophole that the architecture forbids.</w:t>
      </w:r>
    </w:p>
    <w:p>
      <w:pPr>
        <w:spacing w:after="60"/>
        <w:ind w:left="360"/>
      </w:pPr>
      <w:r>
        <w:rPr>
          <w:sz w:val="19"/>
          <w:szCs w:val="19"/>
        </w:rPr>
        <w:t xml:space="preserve">•  Headed/headless mode distinction is architecturally sound; headless workers correctly omit the foreground-input ownership claim.</w:t>
      </w:r>
    </w:p>
    <w:p>
      <w:pPr>
        <w:spacing w:after="60"/>
        <w:ind w:left="360"/>
      </w:pPr>
      <w:r>
        <w:rPr>
          <w:sz w:val="19"/>
          <w:szCs w:val="19"/>
        </w:rPr>
        <w:t xml:space="preserve">•  StorageState is identified as a sensitive credential requiring secret-reference handling — correct parallel to Desktop DPAPI treatment.</w:t>
      </w:r>
    </w:p>
    <w:p>
      <w:pPr>
        <w:spacing w:after="60"/>
        <w:ind w:left="360"/>
      </w:pPr>
      <w:r>
        <w:rPr>
          <w:sz w:val="19"/>
          <w:szCs w:val="19"/>
        </w:rPr>
        <w:t xml:space="preserve">•  28 acceptance tests (BRW-AT-01 to BRW-AT-28) provide good coverage depth, including negative and security boundary tests.</w:t>
      </w:r>
    </w:p>
    <w:p>
      <w:pPr>
        <w:spacing w:after="60"/>
        <w:ind w:left="360"/>
      </w:pPr>
      <w:r>
        <w:rPr>
          <w:sz w:val="19"/>
          <w:szCs w:val="19"/>
        </w:rPr>
        <w:t xml:space="preserve">•  The safeguards appendix lists prohibited capabilities explicitly — a useful audit checkpoint.</w:t>
      </w:r>
    </w:p>
    <w:p>
      <w:pPr>
        <w:spacing w:after="80"/>
      </w:pPr>
      <w:r>
        <w:t xml:space="preserve"> </w:t>
      </w:r>
    </w:p>
    <w:p>
      <w:pPr>
        <w:pStyle w:val="Heading2"/>
        <w:spacing w:after="80" w:before="240"/>
      </w:pPr>
      <w:r>
        <w:t xml:space="preserve">4.2 Terminal Runtime</w:t>
      </w:r>
    </w:p>
    <w:p>
      <w:pPr>
        <w:spacing w:after="60"/>
        <w:ind w:left="360"/>
      </w:pPr>
      <w:r>
        <w:rPr>
          <w:sz w:val="19"/>
          <w:szCs w:val="19"/>
        </w:rPr>
        <w:t xml:space="preserve">•  The narrow 8-action catalogue (start, await, stdin.write, stdout.read, stderr.read, cancel, file.exists, env.inspect) correctly reflects the controlled execution model — no shell composition or unrestricted command building at runtime.</w:t>
      </w:r>
    </w:p>
    <w:p>
      <w:pPr>
        <w:spacing w:after="60"/>
        <w:ind w:left="360"/>
      </w:pPr>
      <w:r>
        <w:rPr>
          <w:sz w:val="19"/>
          <w:szCs w:val="19"/>
        </w:rPr>
        <w:t xml:space="preserve">•  Explicit prohibition on curl, wget, PowerShell web commands and SQL clients closes the direct-API-bypass path correctly.</w:t>
      </w:r>
    </w:p>
    <w:p>
      <w:pPr>
        <w:spacing w:after="60"/>
        <w:ind w:left="360"/>
      </w:pPr>
      <w:r>
        <w:rPr>
          <w:sz w:val="19"/>
          <w:szCs w:val="19"/>
        </w:rPr>
        <w:t xml:space="preserve">•  WSL Bash isolation from the Orchestrator environment is noted in both the spec and alignment register — this is an important security boundary.</w:t>
      </w:r>
    </w:p>
    <w:p>
      <w:pPr>
        <w:spacing w:after="60"/>
        <w:ind w:left="360"/>
      </w:pPr>
      <w:r>
        <w:rPr>
          <w:sz w:val="19"/>
          <w:szCs w:val="19"/>
        </w:rPr>
        <w:t xml:space="preserve">•  Kill/timeout of an effectful command does not authorize automatic replay — correct UNKNOWN semantics.</w:t>
      </w:r>
    </w:p>
    <w:p>
      <w:pPr>
        <w:spacing w:after="60"/>
        <w:ind w:left="360"/>
      </w:pPr>
      <w:r>
        <w:rPr>
          <w:sz w:val="19"/>
          <w:szCs w:val="19"/>
        </w:rPr>
        <w:t xml:space="preserve">•  28 acceptance tests (TER-AT-01 to TER-AT-28) provide comparable depth to Browser and Desktop.</w:t>
      </w:r>
    </w:p>
    <w:p>
      <w:pPr>
        <w:spacing w:after="60"/>
        <w:ind w:left="360"/>
      </w:pPr>
      <w:r>
        <w:rPr>
          <w:sz w:val="19"/>
          <w:szCs w:val="19"/>
        </w:rPr>
        <w:t xml:space="preserve">•  Five service-outcome categories (success, business rejection, technical failure, transient, unknown) are explicitly handled.</w:t>
      </w:r>
    </w:p>
    <w:p>
      <w:pPr>
        <w:spacing w:after="160"/>
      </w:pPr>
      <w:r>
        <w:t xml:space="preserve"> </w:t>
      </w:r>
    </w:p>
    <w:p>
      <w:pPr>
        <w:pStyle w:val="Heading1"/>
        <w:spacing w:after="120" w:before="320"/>
      </w:pPr>
      <w:r>
        <w:t xml:space="preserve">§5 — P1 Findings: Action Required Before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8D7DA" w:color="auto" w:val="clear"/>
          </w:tcPr>
          <w:p>
            <w:pPr>
              <w:spacing w:after="80" w:before="80"/>
            </w:pPr>
            <w:r>
              <w:rPr>
                <w:b/>
                <w:bCs/>
                <w:sz w:val="20"/>
                <w:szCs w:val="20"/>
              </w:rPr>
              <w:t xml:space="preserve">F-01  </w:t>
            </w:r>
            <w:r>
              <w:rPr>
                <w:b/>
                <w:bCs/>
                <w:color w:val="555555"/>
                <w:sz w:val="18"/>
                <w:szCs w:val="18"/>
              </w:rPr>
              <w:t xml:space="preserve">P1 — Action Required  </w:t>
            </w:r>
            <w:r>
              <w:rPr>
                <w:b/>
                <w:bCs/>
                <w:sz w:val="20"/>
                <w:szCs w:val="20"/>
              </w:rPr>
              <w:t xml:space="preserve">Action gap classification table missing</w:t>
            </w:r>
          </w:p>
        </w:tc>
      </w:tr>
      <w:tr>
        <w:tc>
          <w:tcPr>
            <w:tcW w:type="dxa" w:w="9360"/>
          </w:tcPr>
          <w:p>
            <w:pPr>
              <w:spacing w:after="80" w:before="60"/>
            </w:pPr>
            <w:r>
              <w:rPr>
                <w:b/>
                <w:bCs/>
                <w:sz w:val="20"/>
                <w:szCs w:val="20"/>
              </w:rPr>
              <w:t xml:space="preserve">Finding: </w:t>
            </w:r>
            <w:r>
              <w:rPr>
                <w:sz w:val="18"/>
                <w:szCs w:val="18"/>
              </w:rPr>
              <w:t xml:space="preserve">The Desktop Runtime v1.1 added §3.2 "Action Catalogue Gap Classification" after the architect review identified implementation ambiguity — each required capability was classified as (1) existing action, (2) composition of existing actions, (3) internal Runtime behavior, or (4) new action required. Neither the Browser nor Terminal spec has an equivalent section. Without it, there is no documented basis for why certain required capabilities are absent from the action catalogue, and implementers cannot distinguish "not exposed because it is internal behavior" from "simply forgotten."</w:t>
            </w:r>
          </w:p>
          <w:p>
            <w:pPr>
              <w:spacing w:after="80"/>
            </w:pPr>
            <w:r>
              <w:rPr>
                <w:b/>
                <w:bCs/>
                <w:sz w:val="20"/>
                <w:szCs w:val="20"/>
              </w:rPr>
              <w:t xml:space="preserve">Recommendation: </w:t>
            </w:r>
            <w:r>
              <w:rPr>
                <w:sz w:val="18"/>
                <w:szCs w:val="18"/>
              </w:rPr>
              <w:t xml:space="preserve">Add an action gap classification table to each spec (matching Desktop §3.2 structure) before architecture approval. Classifications that result in a new action must update the action catalogue; those that are internal behaviors must document the guarantee.</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8D7DA" w:color="auto" w:val="clear"/>
          </w:tcPr>
          <w:p>
            <w:pPr>
              <w:spacing w:after="80" w:before="80"/>
            </w:pPr>
            <w:r>
              <w:rPr>
                <w:b/>
                <w:bCs/>
                <w:sz w:val="20"/>
                <w:szCs w:val="20"/>
              </w:rPr>
              <w:t xml:space="preserve">F-02  </w:t>
            </w:r>
            <w:r>
              <w:rPr>
                <w:b/>
                <w:bCs/>
                <w:color w:val="555555"/>
                <w:sz w:val="18"/>
                <w:szCs w:val="18"/>
              </w:rPr>
              <w:t xml:space="preserve">P1 — Action Required  </w:t>
            </w:r>
            <w:r>
              <w:rPr>
                <w:b/>
                <w:bCs/>
                <w:sz w:val="20"/>
                <w:szCs w:val="20"/>
              </w:rPr>
              <w:t xml:space="preserve">Consolidated Defaults &amp; Policies table missing</w:t>
            </w:r>
          </w:p>
        </w:tc>
      </w:tr>
      <w:tr>
        <w:tc>
          <w:tcPr>
            <w:tcW w:type="dxa" w:w="9360"/>
          </w:tcPr>
          <w:p>
            <w:pPr>
              <w:spacing w:after="80" w:before="60"/>
            </w:pPr>
            <w:r>
              <w:rPr>
                <w:b/>
                <w:bCs/>
                <w:sz w:val="20"/>
                <w:szCs w:val="20"/>
              </w:rPr>
              <w:t xml:space="preserve">Finding: </w:t>
            </w:r>
            <w:r>
              <w:rPr>
                <w:sz w:val="18"/>
                <w:szCs w:val="18"/>
              </w:rPr>
              <w:t xml:space="preserve">Desktop §12 provides a single normative table of timing defaults, retry counts, evidence policies, screenshot masking and elevation constraints — all in one place with the note that overrides require policy authority. Browser and Terminal specs mention individual timeouts (e.g., element wait, navigation timeout) and retry counts, but have no equivalent consolidated table. Without this, integration testing cannot confirm that the runtime ships with correct baseline behavior, and policy overrides have no anchor document.</w:t>
            </w:r>
          </w:p>
          <w:p>
            <w:pPr>
              <w:spacing w:after="80"/>
            </w:pPr>
            <w:r>
              <w:rPr>
                <w:b/>
                <w:bCs/>
                <w:sz w:val="20"/>
                <w:szCs w:val="20"/>
              </w:rPr>
              <w:t xml:space="preserve">Recommendation: </w:t>
            </w:r>
            <w:r>
              <w:rPr>
                <w:sz w:val="18"/>
                <w:szCs w:val="18"/>
              </w:rPr>
              <w:t xml:space="preserve">Add a Defaults &amp; Policies table to each spec with concrete millisecond defaults for all wait, retry, and settle parameters; evidence and screenshot policies; elevation or session constraints specific to each runtime.</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8D7DA" w:color="auto" w:val="clear"/>
          </w:tcPr>
          <w:p>
            <w:pPr>
              <w:spacing w:after="80" w:before="80"/>
            </w:pPr>
            <w:r>
              <w:rPr>
                <w:b/>
                <w:bCs/>
                <w:sz w:val="20"/>
                <w:szCs w:val="20"/>
              </w:rPr>
              <w:t xml:space="preserve">F-03  </w:t>
            </w:r>
            <w:r>
              <w:rPr>
                <w:b/>
                <w:bCs/>
                <w:color w:val="555555"/>
                <w:sz w:val="18"/>
                <w:szCs w:val="18"/>
              </w:rPr>
              <w:t xml:space="preserve">P1 — Action Required  </w:t>
            </w:r>
            <w:r>
              <w:rPr>
                <w:b/>
                <w:bCs/>
                <w:sz w:val="20"/>
                <w:szCs w:val="20"/>
              </w:rPr>
              <w:t xml:space="preserve">Error taxonomy appendix not at Desktop Appendix A depth</w:t>
            </w:r>
          </w:p>
        </w:tc>
      </w:tr>
      <w:tr>
        <w:tc>
          <w:tcPr>
            <w:tcW w:type="dxa" w:w="9360"/>
          </w:tcPr>
          <w:p>
            <w:pPr>
              <w:spacing w:after="80" w:before="60"/>
            </w:pPr>
            <w:r>
              <w:rPr>
                <w:b/>
                <w:bCs/>
                <w:sz w:val="20"/>
                <w:szCs w:val="20"/>
              </w:rPr>
              <w:t xml:space="preserve">Finding: </w:t>
            </w:r>
            <w:r>
              <w:rPr>
                <w:sz w:val="18"/>
                <w:szCs w:val="18"/>
              </w:rPr>
              <w:t xml:space="preserve">Desktop Appendix A provides a normative mapping from every engine-specific detailCode to the CEC errorCategory enum, explicitly notes that UNKNOWN_OUTCOME (v1.0 error) is replaced by the UNKNOWN run/step state + unknownReason pattern, and lists which errorCategory combinations produce which run/step terminal state. The Browser and Terminal specs have error handling sections but lack: (a) a cross-referenced detailCode-to-errorCategory table, (b) the explicit removal note for any deprecated error codes from earlier drafts, and (c) the run/step state column. This asymmetry will cause contract conformance divergence.</w:t>
            </w:r>
          </w:p>
          <w:p>
            <w:pPr>
              <w:spacing w:after="80"/>
            </w:pPr>
            <w:r>
              <w:rPr>
                <w:b/>
                <w:bCs/>
                <w:sz w:val="20"/>
                <w:szCs w:val="20"/>
              </w:rPr>
              <w:t xml:space="preserve">Recommendation: </w:t>
            </w:r>
            <w:r>
              <w:rPr>
                <w:sz w:val="18"/>
                <w:szCs w:val="18"/>
              </w:rPr>
              <w:t xml:space="preserve">Add Appendix A (Error Taxonomy) to each spec matching Desktop v1.1 Appendix A structure: detailCode → errorCategory → when to use → run/step state. Include an explicit note removing any error code from v1.0 drafts that does not exist in CEC v1.0.1.</w:t>
            </w:r>
          </w:p>
        </w:tc>
      </w:tr>
    </w:tbl>
    <w:p>
      <w:pPr>
        <w:spacing w:after="80"/>
      </w:pPr>
      <w:r>
        <w:t xml:space="preserve"> </w:t>
      </w:r>
    </w:p>
    <w:p>
      <w:pPr>
        <w:pStyle w:val="Heading1"/>
        <w:spacing w:after="120" w:before="320"/>
      </w:pPr>
      <w:r>
        <w:t xml:space="preserve">§6 — P2 Findings: Recommended Before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FF3CD" w:color="auto" w:val="clear"/>
          </w:tcPr>
          <w:p>
            <w:pPr>
              <w:spacing w:after="80" w:before="80"/>
            </w:pPr>
            <w:r>
              <w:rPr>
                <w:b/>
                <w:bCs/>
                <w:sz w:val="20"/>
                <w:szCs w:val="20"/>
              </w:rPr>
              <w:t xml:space="preserve">F-04  </w:t>
            </w:r>
            <w:r>
              <w:rPr>
                <w:b/>
                <w:bCs/>
                <w:color w:val="555555"/>
                <w:sz w:val="18"/>
                <w:szCs w:val="18"/>
              </w:rPr>
              <w:t xml:space="preserve">P2 — Recommended  </w:t>
            </w:r>
            <w:r>
              <w:rPr>
                <w:b/>
                <w:bCs/>
                <w:sz w:val="20"/>
                <w:szCs w:val="20"/>
              </w:rPr>
              <w:t xml:space="preserve">Browser: No formal Supervisor integration requirement</w:t>
            </w:r>
          </w:p>
        </w:tc>
      </w:tr>
      <w:tr>
        <w:tc>
          <w:tcPr>
            <w:tcW w:type="dxa" w:w="9360"/>
          </w:tcPr>
          <w:p>
            <w:pPr>
              <w:spacing w:after="80" w:before="60"/>
            </w:pPr>
            <w:r>
              <w:rPr>
                <w:b/>
                <w:bCs/>
                <w:sz w:val="20"/>
                <w:szCs w:val="20"/>
              </w:rPr>
              <w:t xml:space="preserve">Finding: </w:t>
            </w:r>
            <w:r>
              <w:rPr>
                <w:sz w:val="18"/>
                <w:szCs w:val="18"/>
              </w:rPr>
              <w:t xml:space="preserve">Desktop has DES-010 "Supervisor integration" — a formal requirement with acceptance criteria stating that the interactive executor receives readiness via authorized local IPC, the background Supervisor cannot inject desktop events, and the executor runs only in the correct user session. The Browser spec mentions the shared Windows Runtime Host Supervisor in the deployment context but does not have an equivalent formal requirement. In headed mode, the Browser runtime must also integrate with the Supervisor (it claims foreground input ownership over the same session). In headless mode the interaction differs — but neither mode's Supervisor boundary is formally specified.</w:t>
            </w:r>
          </w:p>
          <w:p>
            <w:pPr>
              <w:spacing w:after="80"/>
            </w:pPr>
            <w:r>
              <w:rPr>
                <w:b/>
                <w:bCs/>
                <w:sz w:val="20"/>
                <w:szCs w:val="20"/>
              </w:rPr>
              <w:t xml:space="preserve">Recommendation: </w:t>
            </w:r>
            <w:r>
              <w:rPr>
                <w:sz w:val="18"/>
                <w:szCs w:val="18"/>
              </w:rPr>
              <w:t xml:space="preserve">Add a formal Supervisor integration requirement (BRW-009 or equivalent) to the Browser spec covering: (a) headed mode IPC and session ownership, (b) headless mode absence of input-lease claim, (c) prohibition on Supervisor injecting browser events. Add a corresponding acceptance test.</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FF3CD" w:color="auto" w:val="clear"/>
          </w:tcPr>
          <w:p>
            <w:pPr>
              <w:spacing w:after="80" w:before="80"/>
            </w:pPr>
            <w:r>
              <w:rPr>
                <w:b/>
                <w:bCs/>
                <w:sz w:val="20"/>
                <w:szCs w:val="20"/>
              </w:rPr>
              <w:t xml:space="preserve">F-05  </w:t>
            </w:r>
            <w:r>
              <w:rPr>
                <w:b/>
                <w:bCs/>
                <w:color w:val="555555"/>
                <w:sz w:val="18"/>
                <w:szCs w:val="18"/>
              </w:rPr>
              <w:t xml:space="preserve">P2 — Recommended  </w:t>
            </w:r>
            <w:r>
              <w:rPr>
                <w:b/>
                <w:bCs/>
                <w:sz w:val="20"/>
                <w:szCs w:val="20"/>
              </w:rPr>
              <w:t xml:space="preserve">Browser: Headed-mode foreground ownership lacks formal acceptance criteria</w:t>
            </w:r>
          </w:p>
        </w:tc>
      </w:tr>
      <w:tr>
        <w:tc>
          <w:tcPr>
            <w:tcW w:type="dxa" w:w="9360"/>
          </w:tcPr>
          <w:p>
            <w:pPr>
              <w:spacing w:after="80" w:before="60"/>
            </w:pPr>
            <w:r>
              <w:rPr>
                <w:b/>
                <w:bCs/>
                <w:sz w:val="20"/>
                <w:szCs w:val="20"/>
              </w:rPr>
              <w:t xml:space="preserve">Finding: </w:t>
            </w:r>
            <w:r>
              <w:rPr>
                <w:sz w:val="18"/>
                <w:szCs w:val="18"/>
              </w:rPr>
              <w:t xml:space="preserve">The alignment register correctly notes that "Headed Browser and Desktop claim mutually exclusive foreground-input ownership for the same session." Desktop has DES-003 (Foreground ownership) with explicit acceptance: "Two workers cannot interleave input in one session; focus theft fails safely without typing into unrelated application." The Browser spec discusses headed vs headless mode and session claims, but does not have a formally numbered requirement with matching acceptance test for mutual exclusion enforcement. This is important because both runtimes are independently deployable and may be co-installed.</w:t>
            </w:r>
          </w:p>
          <w:p>
            <w:pPr>
              <w:spacing w:after="80"/>
            </w:pPr>
            <w:r>
              <w:rPr>
                <w:b/>
                <w:bCs/>
                <w:sz w:val="20"/>
                <w:szCs w:val="20"/>
              </w:rPr>
              <w:t xml:space="preserve">Recommendation: </w:t>
            </w:r>
            <w:r>
              <w:rPr>
                <w:sz w:val="18"/>
                <w:szCs w:val="18"/>
              </w:rPr>
              <w:t xml:space="preserve">Add a formal foreground ownership requirement to the Browser spec (headed mode only) with an acceptance test covering: simultaneous headed Browser and Desktop worker in the same session — the second worker to acquire should fail or be blocked rather than interleave input.</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FF3CD" w:color="auto" w:val="clear"/>
          </w:tcPr>
          <w:p>
            <w:pPr>
              <w:spacing w:after="80" w:before="80"/>
            </w:pPr>
            <w:r>
              <w:rPr>
                <w:b/>
                <w:bCs/>
                <w:sz w:val="20"/>
                <w:szCs w:val="20"/>
              </w:rPr>
              <w:t xml:space="preserve">F-06  </w:t>
            </w:r>
            <w:r>
              <w:rPr>
                <w:b/>
                <w:bCs/>
                <w:color w:val="555555"/>
                <w:sz w:val="18"/>
                <w:szCs w:val="18"/>
              </w:rPr>
              <w:t xml:space="preserve">P2 — Recommended  </w:t>
            </w:r>
            <w:r>
              <w:rPr>
                <w:b/>
                <w:bCs/>
                <w:sz w:val="20"/>
                <w:szCs w:val="20"/>
              </w:rPr>
              <w:t xml:space="preserve">Terminal: WSL distro isolation is in register only — must be a formal requirement</w:t>
            </w:r>
          </w:p>
        </w:tc>
      </w:tr>
      <w:tr>
        <w:tc>
          <w:tcPr>
            <w:tcW w:type="dxa" w:w="9360"/>
          </w:tcPr>
          <w:p>
            <w:pPr>
              <w:spacing w:after="80" w:before="60"/>
            </w:pPr>
            <w:r>
              <w:rPr>
                <w:b/>
                <w:bCs/>
                <w:sz w:val="20"/>
                <w:szCs w:val="20"/>
              </w:rPr>
              <w:t xml:space="preserve">Finding: </w:t>
            </w:r>
            <w:r>
              <w:rPr>
                <w:sz w:val="18"/>
                <w:szCs w:val="18"/>
              </w:rPr>
              <w:t xml:space="preserve">The alignment register states "WSL Bash commands use an approved customer command distro/container, separate from the WSL/Docker Orchestrator environment." This is a critical security boundary — a Terminal worker running WSL Bash must not be able to reach the Orchestrator's own WSL/Docker environment. This constraint is documented in the register but is not a numbered formal requirement in the Terminal spec. Without it being in the spec, it will not be tested, will not appear in acceptance fixtures, and will not be reviewed in certification.</w:t>
            </w:r>
          </w:p>
          <w:p>
            <w:pPr>
              <w:spacing w:after="80"/>
            </w:pPr>
            <w:r>
              <w:rPr>
                <w:b/>
                <w:bCs/>
                <w:sz w:val="20"/>
                <w:szCs w:val="20"/>
              </w:rPr>
              <w:t xml:space="preserve">Recommendation: </w:t>
            </w:r>
            <w:r>
              <w:rPr>
                <w:sz w:val="18"/>
                <w:szCs w:val="18"/>
              </w:rPr>
              <w:t xml:space="preserve">Promote WSL distro isolation to a formal numbered requirement in the Terminal spec (e.g., ENV-009) with acceptance criteria: given a Terminal job executing a WSL Bash command in the customer distro, it cannot reach the Orchestrator's WSL or Docker network namespace. Add a corresponding acceptance test.</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FF3CD" w:color="auto" w:val="clear"/>
          </w:tcPr>
          <w:p>
            <w:pPr>
              <w:spacing w:after="80" w:before="80"/>
            </w:pPr>
            <w:r>
              <w:rPr>
                <w:b/>
                <w:bCs/>
                <w:sz w:val="20"/>
                <w:szCs w:val="20"/>
              </w:rPr>
              <w:t xml:space="preserve">F-07  </w:t>
            </w:r>
            <w:r>
              <w:rPr>
                <w:b/>
                <w:bCs/>
                <w:color w:val="555555"/>
                <w:sz w:val="18"/>
                <w:szCs w:val="18"/>
              </w:rPr>
              <w:t xml:space="preserve">P2 — Recommended  </w:t>
            </w:r>
            <w:r>
              <w:rPr>
                <w:b/>
                <w:bCs/>
                <w:sz w:val="20"/>
                <w:szCs w:val="20"/>
              </w:rPr>
              <w:t xml:space="preserve">Terminal: Stream buffering limits and encoding policy unspecified</w:t>
            </w:r>
          </w:p>
        </w:tc>
      </w:tr>
      <w:tr>
        <w:tc>
          <w:tcPr>
            <w:tcW w:type="dxa" w:w="9360"/>
          </w:tcPr>
          <w:p>
            <w:pPr>
              <w:spacing w:after="80" w:before="60"/>
            </w:pPr>
            <w:r>
              <w:rPr>
                <w:b/>
                <w:bCs/>
                <w:sz w:val="20"/>
                <w:szCs w:val="20"/>
              </w:rPr>
              <w:t xml:space="preserve">Finding: </w:t>
            </w:r>
            <w:r>
              <w:rPr>
                <w:sz w:val="18"/>
                <w:szCs w:val="18"/>
              </w:rPr>
              <w:t xml:space="preserve">The Terminal spec catalogues terminal.stdout.read and terminal.stderr.read actions but does not specify: (a) maximum buffer size before truncation or error, (b) character encoding assumption (UTF-8, system code page, or configurable), (c) what happens when a command produces output exceeding the buffer, and (d) whether partial output is retained on timeout. For CMD/PowerShell commands that emit large outputs (e.g., log tails, directory listings), unspecified buffering behavior leads to test failures that are hard to diagnose and non-deterministic results across environments.</w:t>
            </w:r>
          </w:p>
          <w:p>
            <w:pPr>
              <w:spacing w:after="80"/>
            </w:pPr>
            <w:r>
              <w:rPr>
                <w:b/>
                <w:bCs/>
                <w:sz w:val="20"/>
                <w:szCs w:val="20"/>
              </w:rPr>
              <w:t xml:space="preserve">Recommendation: </w:t>
            </w:r>
            <w:r>
              <w:rPr>
                <w:sz w:val="18"/>
                <w:szCs w:val="18"/>
              </w:rPr>
              <w:t xml:space="preserve">Add stream buffering constraints to the Terminal spec: a default max buffer size (in KB), encoding default (recommend UTF-8 with BOM stripping), truncation behavior (truncate tail with indicator vs raise error), and partial-output retention policy on timeout. These belong in the Defaults &amp; Policies table (F-02).</w:t>
            </w:r>
          </w:p>
        </w:tc>
      </w:tr>
    </w:tbl>
    <w:p>
      <w:pPr>
        <w:spacing w:after="80"/>
      </w:pPr>
      <w:r>
        <w:t xml:space="preserve"> </w:t>
      </w:r>
    </w:p>
    <w:p>
      <w:pPr>
        <w:pStyle w:val="Heading1"/>
        <w:spacing w:after="120" w:before="320"/>
      </w:pPr>
      <w:r>
        <w:t xml:space="preserve">§7 — P3 Findings: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D4EDDA" w:color="auto" w:val="clear"/>
          </w:tcPr>
          <w:p>
            <w:pPr>
              <w:spacing w:after="80" w:before="80"/>
            </w:pPr>
            <w:r>
              <w:rPr>
                <w:b/>
                <w:bCs/>
                <w:sz w:val="20"/>
                <w:szCs w:val="20"/>
              </w:rPr>
              <w:t xml:space="preserve">F-08  </w:t>
            </w:r>
            <w:r>
              <w:rPr>
                <w:b/>
                <w:bCs/>
                <w:color w:val="555555"/>
                <w:sz w:val="18"/>
                <w:szCs w:val="18"/>
              </w:rPr>
              <w:t xml:space="preserve">P3 — Minor / Observation  </w:t>
            </w:r>
            <w:r>
              <w:rPr>
                <w:b/>
                <w:bCs/>
                <w:sz w:val="20"/>
                <w:szCs w:val="20"/>
              </w:rPr>
              <w:t xml:space="preserve">POC-01–POC-10 gate applicability not explicitly listed per spec</w:t>
            </w:r>
          </w:p>
        </w:tc>
      </w:tr>
      <w:tr>
        <w:tc>
          <w:tcPr>
            <w:tcW w:type="dxa" w:w="9360"/>
          </w:tcPr>
          <w:p>
            <w:pPr>
              <w:spacing w:after="80" w:before="60"/>
            </w:pPr>
            <w:r>
              <w:rPr>
                <w:b/>
                <w:bCs/>
                <w:sz w:val="20"/>
                <w:szCs w:val="20"/>
              </w:rPr>
              <w:t xml:space="preserve">Finding: </w:t>
            </w:r>
            <w:r>
              <w:rPr>
                <w:sz w:val="18"/>
                <w:szCs w:val="18"/>
              </w:rPr>
              <w:t xml:space="preserve">Architecture v1.2A lists POC-01–POC-10 as deployment gates whose evidence is required before the conditional freeze. The Desktop spec explicitly references this gate set. Neither the Browser nor Terminal spec lists which POC gates apply to their deployment modes (e.g., POC-01: interactive-session host POC applies to headed Browser but not headless; terminal POC gates differ). Without this mapping, certification sign-off has no explicit gate checklist to validate.</w:t>
            </w:r>
          </w:p>
          <w:p>
            <w:pPr>
              <w:spacing w:after="80"/>
            </w:pPr>
            <w:r>
              <w:rPr>
                <w:b/>
                <w:bCs/>
                <w:sz w:val="20"/>
                <w:szCs w:val="20"/>
              </w:rPr>
              <w:t xml:space="preserve">Recommendation: </w:t>
            </w:r>
            <w:r>
              <w:rPr>
                <w:sz w:val="18"/>
                <w:szCs w:val="18"/>
              </w:rPr>
              <w:t xml:space="preserve">Add a POC gate applicability table to each spec (one row per applicable POC-01–POC-10, with the mode it applies to). Explicitly note which gates are N/A for headless Browser or for Terminal (no interactive session).</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D4EDDA" w:color="auto" w:val="clear"/>
          </w:tcPr>
          <w:p>
            <w:pPr>
              <w:spacing w:after="80" w:before="80"/>
            </w:pPr>
            <w:r>
              <w:rPr>
                <w:b/>
                <w:bCs/>
                <w:sz w:val="20"/>
                <w:szCs w:val="20"/>
              </w:rPr>
              <w:t xml:space="preserve">F-09  </w:t>
            </w:r>
            <w:r>
              <w:rPr>
                <w:b/>
                <w:bCs/>
                <w:color w:val="555555"/>
                <w:sz w:val="18"/>
                <w:szCs w:val="18"/>
              </w:rPr>
              <w:t xml:space="preserve">P3 — Minor / Observation  </w:t>
            </w:r>
            <w:r>
              <w:rPr>
                <w:b/>
                <w:bCs/>
                <w:sz w:val="20"/>
                <w:szCs w:val="20"/>
              </w:rPr>
              <w:t xml:space="preserve">Normative selector / locator schema not provided</w:t>
            </w:r>
          </w:p>
        </w:tc>
      </w:tr>
      <w:tr>
        <w:tc>
          <w:tcPr>
            <w:tcW w:type="dxa" w:w="9360"/>
          </w:tcPr>
          <w:p>
            <w:pPr>
              <w:spacing w:after="80" w:before="60"/>
            </w:pPr>
            <w:r>
              <w:rPr>
                <w:b/>
                <w:bCs/>
                <w:sz w:val="20"/>
                <w:szCs w:val="20"/>
              </w:rPr>
              <w:t xml:space="preserve">Finding: </w:t>
            </w:r>
            <w:r>
              <w:rPr>
                <w:sz w:val="18"/>
                <w:szCs w:val="18"/>
              </w:rPr>
              <w:t xml:space="preserve">Desktop §11 provides a normative selector JSON schema with field-level constraints (processRef, window, ancestors, element, matchPolicy, javaBridge, relativePoint, resolutionFallback) and an example payload. The Browser spec describes locator strategies (semantic priority order) and the Terminal spec has command references, but neither provides an equivalent normative schema definition for how selectors/references are persisted in artifacts. Without a schema, the Designer and Orchestrator have no contract to validate selector structure before execution.</w:t>
            </w:r>
          </w:p>
          <w:p>
            <w:pPr>
              <w:spacing w:after="80"/>
            </w:pPr>
            <w:r>
              <w:rPr>
                <w:b/>
                <w:bCs/>
                <w:sz w:val="20"/>
                <w:szCs w:val="20"/>
              </w:rPr>
              <w:t xml:space="preserve">Recommendation: </w:t>
            </w:r>
            <w:r>
              <w:rPr>
                <w:sz w:val="18"/>
                <w:szCs w:val="18"/>
              </w:rPr>
              <w:t xml:space="preserve">Add a normative locator / command-reference schema section to each spec. For Browser: a JSON schema for the selector object (role, testId, label, css, xpath, fallback chain). For Terminal: a schema for approved command references (command template, approved parameters, environment constraints). Mark these as version 1 normative — implementers must validate them before executing any action.</w:t>
            </w:r>
          </w:p>
        </w:tc>
      </w:tr>
    </w:tbl>
    <w:p>
      <w:pPr>
        <w:spacing w:after="80"/>
      </w:pPr>
      <w:r>
        <w:t xml:space="preserve"> </w:t>
      </w:r>
    </w:p>
    <w:p>
      <w:pPr>
        <w:pStyle w:val="Heading1"/>
        <w:spacing w:after="120" w:before="320"/>
      </w:pPr>
      <w:r>
        <w:t xml:space="preserve">§8 — Cross-Specification Consistency</w:t>
      </w:r>
    </w:p>
    <w:p>
      <w:pPr>
        <w:spacing w:after="100"/>
      </w:pPr>
      <w:r>
        <w:rPr>
          <w:sz w:val="20"/>
          <w:szCs w:val="20"/>
        </w:rPr>
        <w:t xml:space="preserve">The following table compares the three runtime specs across key dimensions to identify consistency and gaps.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shd w:fill="1F3864" w:color="auto" w:val="clear"/>
          </w:tcPr>
          <w:p>
            <w:pPr>
              <w:spacing w:after="60" w:before="60"/>
            </w:pPr>
            <w:r>
              <w:rPr>
                <w:b/>
                <w:bCs/>
                <w:color w:val="FFFFFF"/>
                <w:sz w:val="18"/>
                <w:szCs w:val="18"/>
              </w:rPr>
              <w:t xml:space="preserve">Dimension</w:t>
            </w:r>
          </w:p>
        </w:tc>
        <w:tc>
          <w:tcPr>
            <w:tcW w:type="dxa" w:w="2386"/>
            <w:shd w:fill="1F3864" w:color="auto" w:val="clear"/>
          </w:tcPr>
          <w:p>
            <w:pPr>
              <w:spacing w:after="60" w:before="60"/>
            </w:pPr>
            <w:r>
              <w:rPr>
                <w:b/>
                <w:bCs/>
                <w:color w:val="FFFFFF"/>
                <w:sz w:val="18"/>
                <w:szCs w:val="18"/>
              </w:rPr>
              <w:t xml:space="preserve">Desktop v1.1</w:t>
            </w:r>
          </w:p>
        </w:tc>
        <w:tc>
          <w:tcPr>
            <w:tcW w:type="dxa" w:w="2387"/>
            <w:shd w:fill="1F3864" w:color="auto" w:val="clear"/>
          </w:tcPr>
          <w:p>
            <w:pPr>
              <w:spacing w:after="60" w:before="60"/>
            </w:pPr>
            <w:r>
              <w:rPr>
                <w:b/>
                <w:bCs/>
                <w:color w:val="FFFFFF"/>
                <w:sz w:val="18"/>
                <w:szCs w:val="18"/>
              </w:rPr>
              <w:t xml:space="preserve">Browser v1.1 Aligned</w:t>
            </w:r>
          </w:p>
        </w:tc>
        <w:tc>
          <w:tcPr>
            <w:tcW w:type="dxa" w:w="2387"/>
            <w:shd w:fill="1F3864" w:color="auto" w:val="clear"/>
          </w:tcPr>
          <w:p>
            <w:pPr>
              <w:spacing w:after="60" w:before="60"/>
            </w:pPr>
            <w:r>
              <w:rPr>
                <w:b/>
                <w:bCs/>
                <w:color w:val="FFFFFF"/>
                <w:sz w:val="18"/>
                <w:szCs w:val="18"/>
              </w:rPr>
              <w:t xml:space="preserve">Terminal v1.1 Aligned</w:t>
            </w:r>
          </w:p>
        </w:tc>
      </w:tr>
      <w:tr>
        <w:tc>
          <w:tcPr>
            <w:tcW w:type="dxa" w:w="2200"/>
          </w:tcPr>
          <w:p>
            <w:pPr>
              <w:spacing w:after="60" w:before="60"/>
            </w:pPr>
            <w:r>
              <w:rPr>
                <w:sz w:val="18"/>
                <w:szCs w:val="18"/>
              </w:rPr>
              <w:t xml:space="preserve">CEC contract version</w:t>
            </w:r>
          </w:p>
        </w:tc>
        <w:tc>
          <w:tcPr>
            <w:tcW w:type="dxa" w:w="2386"/>
          </w:tcPr>
          <w:p>
            <w:pPr>
              <w:spacing w:after="60" w:before="60"/>
            </w:pPr>
            <w:r>
              <w:rPr>
                <w:sz w:val="18"/>
                <w:szCs w:val="18"/>
              </w:rPr>
              <w:t xml:space="preserve">CEC v1.0.1 ✓</w:t>
            </w:r>
          </w:p>
        </w:tc>
        <w:tc>
          <w:tcPr>
            <w:tcW w:type="dxa" w:w="2387"/>
          </w:tcPr>
          <w:p>
            <w:pPr>
              <w:spacing w:after="60" w:before="60"/>
            </w:pPr>
            <w:r>
              <w:rPr>
                <w:sz w:val="18"/>
                <w:szCs w:val="18"/>
              </w:rPr>
              <w:t xml:space="preserve">CEC v1.0.1 ✓</w:t>
            </w:r>
          </w:p>
        </w:tc>
        <w:tc>
          <w:tcPr>
            <w:tcW w:type="dxa" w:w="2387"/>
          </w:tcPr>
          <w:p>
            <w:pPr>
              <w:spacing w:after="60" w:before="60"/>
            </w:pPr>
            <w:r>
              <w:rPr>
                <w:sz w:val="18"/>
                <w:szCs w:val="18"/>
              </w:rPr>
              <w:t xml:space="preserve">CEC v1.0.1 ✓</w:t>
            </w:r>
          </w:p>
        </w:tc>
      </w:tr>
      <w:tr>
        <w:tc>
          <w:tcPr>
            <w:tcW w:type="dxa" w:w="2200"/>
          </w:tcPr>
          <w:p>
            <w:pPr>
              <w:spacing w:after="60" w:before="60"/>
            </w:pPr>
            <w:r>
              <w:rPr>
                <w:sz w:val="18"/>
                <w:szCs w:val="18"/>
              </w:rPr>
              <w:t xml:space="preserve">Functional requirement count</w:t>
            </w:r>
          </w:p>
        </w:tc>
        <w:tc>
          <w:tcPr>
            <w:tcW w:type="dxa" w:w="2386"/>
          </w:tcPr>
          <w:p>
            <w:pPr>
              <w:spacing w:after="60" w:before="60"/>
            </w:pPr>
            <w:r>
              <w:rPr>
                <w:sz w:val="18"/>
                <w:szCs w:val="18"/>
              </w:rPr>
              <w:t xml:space="preserve">33 (DES+UIA+INPUT+CTRL+REC)</w:t>
            </w:r>
          </w:p>
        </w:tc>
        <w:tc>
          <w:tcPr>
            <w:tcW w:type="dxa" w:w="2387"/>
          </w:tcPr>
          <w:p>
            <w:pPr>
              <w:spacing w:after="60" w:before="60"/>
            </w:pPr>
            <w:r>
              <w:rPr>
                <w:sz w:val="18"/>
                <w:szCs w:val="18"/>
              </w:rPr>
              <w:t xml:space="preserve">~35 (BRW+DOM+WEB+BRE)</w:t>
            </w:r>
          </w:p>
        </w:tc>
        <w:tc>
          <w:tcPr>
            <w:tcW w:type="dxa" w:w="2387"/>
          </w:tcPr>
          <w:p>
            <w:pPr>
              <w:spacing w:after="60" w:before="60"/>
            </w:pPr>
            <w:r>
              <w:rPr>
                <w:sz w:val="18"/>
                <w:szCs w:val="18"/>
              </w:rPr>
              <w:t xml:space="preserve">~35 (ENV+CMD+STR+TER)</w:t>
            </w:r>
          </w:p>
        </w:tc>
      </w:tr>
      <w:tr>
        <w:tc>
          <w:tcPr>
            <w:tcW w:type="dxa" w:w="2200"/>
          </w:tcPr>
          <w:p>
            <w:pPr>
              <w:spacing w:after="60" w:before="60"/>
            </w:pPr>
            <w:r>
              <w:rPr>
                <w:sz w:val="18"/>
                <w:szCs w:val="18"/>
              </w:rPr>
              <w:t xml:space="preserve">Action catalogue depth</w:t>
            </w:r>
          </w:p>
        </w:tc>
        <w:tc>
          <w:tcPr>
            <w:tcW w:type="dxa" w:w="2386"/>
          </w:tcPr>
          <w:p>
            <w:pPr>
              <w:spacing w:after="60" w:before="60"/>
            </w:pPr>
            <w:r>
              <w:rPr>
                <w:sz w:val="18"/>
                <w:szCs w:val="18"/>
              </w:rPr>
              <w:t xml:space="preserve">27 actions with full per-action detail</w:t>
            </w:r>
          </w:p>
        </w:tc>
        <w:tc>
          <w:tcPr>
            <w:tcW w:type="dxa" w:w="2387"/>
          </w:tcPr>
          <w:p>
            <w:pPr>
              <w:spacing w:after="60" w:before="60"/>
            </w:pPr>
            <w:r>
              <w:rPr>
                <w:sz w:val="18"/>
                <w:szCs w:val="18"/>
              </w:rPr>
              <w:t xml:space="preserve">Actions listed, per-action detail present but less structured</w:t>
            </w:r>
          </w:p>
        </w:tc>
        <w:tc>
          <w:tcPr>
            <w:tcW w:type="dxa" w:w="2387"/>
          </w:tcPr>
          <w:p>
            <w:pPr>
              <w:spacing w:after="60" w:before="60"/>
            </w:pPr>
            <w:r>
              <w:rPr>
                <w:sz w:val="18"/>
                <w:szCs w:val="18"/>
              </w:rPr>
              <w:t xml:space="preserve">8 actions; per-action detail present</w:t>
            </w:r>
          </w:p>
        </w:tc>
      </w:tr>
      <w:tr>
        <w:tc>
          <w:tcPr>
            <w:tcW w:type="dxa" w:w="2200"/>
          </w:tcPr>
          <w:p>
            <w:pPr>
              <w:spacing w:after="60" w:before="60"/>
            </w:pPr>
            <w:r>
              <w:rPr>
                <w:sz w:val="18"/>
                <w:szCs w:val="18"/>
              </w:rPr>
              <w:t xml:space="preserve">Acceptance tests</w:t>
            </w:r>
          </w:p>
        </w:tc>
        <w:tc>
          <w:tcPr>
            <w:tcW w:type="dxa" w:w="2386"/>
          </w:tcPr>
          <w:p>
            <w:pPr>
              <w:spacing w:after="60" w:before="60"/>
            </w:pPr>
            <w:r>
              <w:rPr>
                <w:sz w:val="18"/>
                <w:szCs w:val="18"/>
              </w:rPr>
              <w:t xml:space="preserve">23 (DES-AT-01–23)</w:t>
            </w:r>
          </w:p>
        </w:tc>
        <w:tc>
          <w:tcPr>
            <w:tcW w:type="dxa" w:w="2387"/>
          </w:tcPr>
          <w:p>
            <w:pPr>
              <w:spacing w:after="60" w:before="60"/>
            </w:pPr>
            <w:r>
              <w:rPr>
                <w:sz w:val="18"/>
                <w:szCs w:val="18"/>
              </w:rPr>
              <w:t xml:space="preserve">28 (BRW-AT-01–28)</w:t>
            </w:r>
          </w:p>
        </w:tc>
        <w:tc>
          <w:tcPr>
            <w:tcW w:type="dxa" w:w="2387"/>
          </w:tcPr>
          <w:p>
            <w:pPr>
              <w:spacing w:after="60" w:before="60"/>
            </w:pPr>
            <w:r>
              <w:rPr>
                <w:sz w:val="18"/>
                <w:szCs w:val="18"/>
              </w:rPr>
              <w:t xml:space="preserve">28 (TER-AT-01–28)</w:t>
            </w:r>
          </w:p>
        </w:tc>
      </w:tr>
      <w:tr>
        <w:tc>
          <w:tcPr>
            <w:tcW w:type="dxa" w:w="2200"/>
          </w:tcPr>
          <w:p>
            <w:pPr>
              <w:spacing w:after="60" w:before="60"/>
            </w:pPr>
            <w:r>
              <w:rPr>
                <w:sz w:val="18"/>
                <w:szCs w:val="18"/>
              </w:rPr>
              <w:t xml:space="preserve">Action gap classification table</w:t>
            </w:r>
          </w:p>
        </w:tc>
        <w:tc>
          <w:tcPr>
            <w:tcW w:type="dxa" w:w="2386"/>
          </w:tcPr>
          <w:p>
            <w:pPr>
              <w:spacing w:after="60" w:before="60"/>
            </w:pPr>
            <w:r>
              <w:rPr>
                <w:sz w:val="18"/>
                <w:szCs w:val="18"/>
              </w:rPr>
              <w:t xml:space="preserve">✓ §3.2 (added v1.1)</w:t>
            </w:r>
          </w:p>
        </w:tc>
        <w:tc>
          <w:tcPr>
            <w:tcW w:type="dxa" w:w="2387"/>
            <w:shd w:fill="F8D7DA" w:color="auto" w:val="clear"/>
          </w:tcPr>
          <w:p>
            <w:pPr>
              <w:spacing w:after="60" w:before="60"/>
            </w:pPr>
            <w:r>
              <w:rPr>
                <w:sz w:val="18"/>
                <w:szCs w:val="18"/>
              </w:rPr>
              <w:t xml:space="preserve">✗ Missing</w:t>
            </w:r>
          </w:p>
        </w:tc>
        <w:tc>
          <w:tcPr>
            <w:tcW w:type="dxa" w:w="2387"/>
            <w:shd w:fill="F8D7DA" w:color="auto" w:val="clear"/>
          </w:tcPr>
          <w:p>
            <w:pPr>
              <w:spacing w:after="60" w:before="60"/>
            </w:pPr>
            <w:r>
              <w:rPr>
                <w:sz w:val="18"/>
                <w:szCs w:val="18"/>
              </w:rPr>
              <w:t xml:space="preserve">✗ Missing</w:t>
            </w:r>
          </w:p>
        </w:tc>
      </w:tr>
      <w:tr>
        <w:tc>
          <w:tcPr>
            <w:tcW w:type="dxa" w:w="2200"/>
          </w:tcPr>
          <w:p>
            <w:pPr>
              <w:spacing w:after="60" w:before="60"/>
            </w:pPr>
            <w:r>
              <w:rPr>
                <w:sz w:val="18"/>
                <w:szCs w:val="18"/>
              </w:rPr>
              <w:t xml:space="preserve">Defaults &amp; policies table</w:t>
            </w:r>
          </w:p>
        </w:tc>
        <w:tc>
          <w:tcPr>
            <w:tcW w:type="dxa" w:w="2386"/>
          </w:tcPr>
          <w:p>
            <w:pPr>
              <w:spacing w:after="60" w:before="60"/>
            </w:pPr>
            <w:r>
              <w:rPr>
                <w:sz w:val="18"/>
                <w:szCs w:val="18"/>
              </w:rPr>
              <w:t xml:space="preserve">✓ §12</w:t>
            </w:r>
          </w:p>
        </w:tc>
        <w:tc>
          <w:tcPr>
            <w:tcW w:type="dxa" w:w="2387"/>
            <w:shd w:fill="F8D7DA" w:color="auto" w:val="clear"/>
          </w:tcPr>
          <w:p>
            <w:pPr>
              <w:spacing w:after="60" w:before="60"/>
            </w:pPr>
            <w:r>
              <w:rPr>
                <w:sz w:val="18"/>
                <w:szCs w:val="18"/>
              </w:rPr>
              <w:t xml:space="preserve">✗ Missing</w:t>
            </w:r>
          </w:p>
        </w:tc>
        <w:tc>
          <w:tcPr>
            <w:tcW w:type="dxa" w:w="2387"/>
            <w:shd w:fill="F8D7DA" w:color="auto" w:val="clear"/>
          </w:tcPr>
          <w:p>
            <w:pPr>
              <w:spacing w:after="60" w:before="60"/>
            </w:pPr>
            <w:r>
              <w:rPr>
                <w:sz w:val="18"/>
                <w:szCs w:val="18"/>
              </w:rPr>
              <w:t xml:space="preserve">✗ Missing</w:t>
            </w:r>
          </w:p>
        </w:tc>
      </w:tr>
      <w:tr>
        <w:tc>
          <w:tcPr>
            <w:tcW w:type="dxa" w:w="2200"/>
          </w:tcPr>
          <w:p>
            <w:pPr>
              <w:spacing w:after="60" w:before="60"/>
            </w:pPr>
            <w:r>
              <w:rPr>
                <w:sz w:val="18"/>
                <w:szCs w:val="18"/>
              </w:rPr>
              <w:t xml:space="preserve">Error taxonomy appendix</w:t>
            </w:r>
          </w:p>
        </w:tc>
        <w:tc>
          <w:tcPr>
            <w:tcW w:type="dxa" w:w="2386"/>
          </w:tcPr>
          <w:p>
            <w:pPr>
              <w:spacing w:after="60" w:before="60"/>
            </w:pPr>
            <w:r>
              <w:rPr>
                <w:sz w:val="18"/>
                <w:szCs w:val="18"/>
              </w:rPr>
              <w:t xml:space="preserve">✓ Appendix A (normative)</w:t>
            </w:r>
          </w:p>
        </w:tc>
        <w:tc>
          <w:tcPr>
            <w:tcW w:type="dxa" w:w="2387"/>
            <w:shd w:fill="FFF3CD" w:color="auto" w:val="clear"/>
          </w:tcPr>
          <w:p>
            <w:pPr>
              <w:spacing w:after="60" w:before="60"/>
            </w:pPr>
            <w:r>
              <w:rPr>
                <w:sz w:val="18"/>
                <w:szCs w:val="18"/>
              </w:rPr>
              <w:t xml:space="preserve">Partial — no cross-ref table</w:t>
            </w:r>
          </w:p>
        </w:tc>
        <w:tc>
          <w:tcPr>
            <w:tcW w:type="dxa" w:w="2387"/>
            <w:shd w:fill="FFF3CD" w:color="auto" w:val="clear"/>
          </w:tcPr>
          <w:p>
            <w:pPr>
              <w:spacing w:after="60" w:before="60"/>
            </w:pPr>
            <w:r>
              <w:rPr>
                <w:sz w:val="18"/>
                <w:szCs w:val="18"/>
              </w:rPr>
              <w:t xml:space="preserve">Partial — no cross-ref table</w:t>
            </w:r>
          </w:p>
        </w:tc>
      </w:tr>
      <w:tr>
        <w:tc>
          <w:tcPr>
            <w:tcW w:type="dxa" w:w="2200"/>
          </w:tcPr>
          <w:p>
            <w:pPr>
              <w:spacing w:after="60" w:before="60"/>
            </w:pPr>
            <w:r>
              <w:rPr>
                <w:sz w:val="18"/>
                <w:szCs w:val="18"/>
              </w:rPr>
              <w:t xml:space="preserve">Normative selector/locator schema</w:t>
            </w:r>
          </w:p>
        </w:tc>
        <w:tc>
          <w:tcPr>
            <w:tcW w:type="dxa" w:w="2386"/>
          </w:tcPr>
          <w:p>
            <w:pPr>
              <w:spacing w:after="60" w:before="60"/>
            </w:pPr>
            <w:r>
              <w:rPr>
                <w:sz w:val="18"/>
                <w:szCs w:val="18"/>
              </w:rPr>
              <w:t xml:space="preserve">✓ §11</w:t>
            </w:r>
          </w:p>
        </w:tc>
        <w:tc>
          <w:tcPr>
            <w:tcW w:type="dxa" w:w="2387"/>
            <w:shd w:fill="FFF3CD" w:color="auto" w:val="clear"/>
          </w:tcPr>
          <w:p>
            <w:pPr>
              <w:spacing w:after="60" w:before="60"/>
            </w:pPr>
            <w:r>
              <w:rPr>
                <w:sz w:val="18"/>
                <w:szCs w:val="18"/>
              </w:rPr>
              <w:t xml:space="preserve">⚠ Described; not schema-defined</w:t>
            </w:r>
          </w:p>
        </w:tc>
        <w:tc>
          <w:tcPr>
            <w:tcW w:type="dxa" w:w="2387"/>
            <w:shd w:fill="FFF3CD" w:color="auto" w:val="clear"/>
          </w:tcPr>
          <w:p>
            <w:pPr>
              <w:spacing w:after="60" w:before="60"/>
            </w:pPr>
            <w:r>
              <w:rPr>
                <w:sz w:val="18"/>
                <w:szCs w:val="18"/>
              </w:rPr>
              <w:t xml:space="preserve">⚠ Described; not schema-defined</w:t>
            </w:r>
          </w:p>
        </w:tc>
      </w:tr>
      <w:tr>
        <w:tc>
          <w:tcPr>
            <w:tcW w:type="dxa" w:w="2200"/>
          </w:tcPr>
          <w:p>
            <w:pPr>
              <w:spacing w:after="60" w:before="60"/>
            </w:pPr>
            <w:r>
              <w:rPr>
                <w:sz w:val="18"/>
                <w:szCs w:val="18"/>
              </w:rPr>
              <w:t xml:space="preserve">Supervisor integration requirement</w:t>
            </w:r>
          </w:p>
        </w:tc>
        <w:tc>
          <w:tcPr>
            <w:tcW w:type="dxa" w:w="2386"/>
          </w:tcPr>
          <w:p>
            <w:pPr>
              <w:spacing w:after="60" w:before="60"/>
            </w:pPr>
            <w:r>
              <w:rPr>
                <w:sz w:val="18"/>
                <w:szCs w:val="18"/>
              </w:rPr>
              <w:t xml:space="preserve">✓ DES-010</w:t>
            </w:r>
          </w:p>
        </w:tc>
        <w:tc>
          <w:tcPr>
            <w:tcW w:type="dxa" w:w="2387"/>
            <w:shd w:fill="FFF3CD" w:color="auto" w:val="clear"/>
          </w:tcPr>
          <w:p>
            <w:pPr>
              <w:spacing w:after="60" w:before="60"/>
            </w:pPr>
            <w:r>
              <w:rPr>
                <w:sz w:val="18"/>
                <w:szCs w:val="18"/>
              </w:rPr>
              <w:t xml:space="preserve">⚠ Referenced; not formal</w:t>
            </w:r>
          </w:p>
        </w:tc>
        <w:tc>
          <w:tcPr>
            <w:tcW w:type="dxa" w:w="2387"/>
            <w:shd w:fill="FFF3CD" w:color="auto" w:val="clear"/>
          </w:tcPr>
          <w:p>
            <w:pPr>
              <w:spacing w:after="60" w:before="60"/>
            </w:pPr>
            <w:r>
              <w:rPr>
                <w:sz w:val="18"/>
                <w:szCs w:val="18"/>
              </w:rPr>
              <w:t xml:space="preserve">⚠ Referenced; not formal</w:t>
            </w:r>
          </w:p>
        </w:tc>
      </w:tr>
      <w:tr>
        <w:tc>
          <w:tcPr>
            <w:tcW w:type="dxa" w:w="2200"/>
          </w:tcPr>
          <w:p>
            <w:pPr>
              <w:spacing w:after="60" w:before="60"/>
            </w:pPr>
            <w:r>
              <w:rPr>
                <w:sz w:val="18"/>
                <w:szCs w:val="18"/>
              </w:rPr>
              <w:t xml:space="preserve">UNKNOWN + unknownReason pattern</w:t>
            </w:r>
          </w:p>
        </w:tc>
        <w:tc>
          <w:tcPr>
            <w:tcW w:type="dxa" w:w="2386"/>
          </w:tcPr>
          <w:p>
            <w:pPr>
              <w:spacing w:after="60" w:before="60"/>
            </w:pPr>
            <w:r>
              <w:rPr>
                <w:sz w:val="18"/>
                <w:szCs w:val="18"/>
              </w:rPr>
              <w:t xml:space="preserve">✓ Throughout</w:t>
            </w:r>
          </w:p>
        </w:tc>
        <w:tc>
          <w:tcPr>
            <w:tcW w:type="dxa" w:w="2387"/>
          </w:tcPr>
          <w:p>
            <w:pPr>
              <w:spacing w:after="60" w:before="60"/>
            </w:pPr>
            <w:r>
              <w:rPr>
                <w:sz w:val="18"/>
                <w:szCs w:val="18"/>
              </w:rPr>
              <w:t xml:space="preserve">✓ Throughout</w:t>
            </w:r>
          </w:p>
        </w:tc>
        <w:tc>
          <w:tcPr>
            <w:tcW w:type="dxa" w:w="2387"/>
          </w:tcPr>
          <w:p>
            <w:pPr>
              <w:spacing w:after="60" w:before="60"/>
            </w:pPr>
            <w:r>
              <w:rPr>
                <w:sz w:val="18"/>
                <w:szCs w:val="18"/>
              </w:rPr>
              <w:t xml:space="preserve">✓ Throughout</w:t>
            </w:r>
          </w:p>
        </w:tc>
      </w:tr>
      <w:tr>
        <w:tc>
          <w:tcPr>
            <w:tcW w:type="dxa" w:w="2200"/>
          </w:tcPr>
          <w:p>
            <w:pPr>
              <w:spacing w:after="60" w:before="60"/>
            </w:pPr>
            <w:r>
              <w:rPr>
                <w:sz w:val="18"/>
                <w:szCs w:val="18"/>
              </w:rPr>
              <w:t xml:space="preserve">service.invoke only</w:t>
            </w:r>
          </w:p>
        </w:tc>
        <w:tc>
          <w:tcPr>
            <w:tcW w:type="dxa" w:w="2386"/>
          </w:tcPr>
          <w:p>
            <w:pPr>
              <w:spacing w:after="60" w:before="60"/>
            </w:pPr>
            <w:r>
              <w:rPr>
                <w:sz w:val="18"/>
                <w:szCs w:val="18"/>
              </w:rPr>
              <w:t xml:space="preserve">✓</w:t>
            </w:r>
          </w:p>
        </w:tc>
        <w:tc>
          <w:tcPr>
            <w:tcW w:type="dxa" w:w="2387"/>
          </w:tcPr>
          <w:p>
            <w:pPr>
              <w:spacing w:after="60" w:before="60"/>
            </w:pPr>
            <w:r>
              <w:rPr>
                <w:sz w:val="18"/>
                <w:szCs w:val="18"/>
              </w:rPr>
              <w:t xml:space="preserve">✓</w:t>
            </w:r>
          </w:p>
        </w:tc>
        <w:tc>
          <w:tcPr>
            <w:tcW w:type="dxa" w:w="2387"/>
          </w:tcPr>
          <w:p>
            <w:pPr>
              <w:spacing w:after="60" w:before="60"/>
            </w:pPr>
            <w:r>
              <w:rPr>
                <w:sz w:val="18"/>
                <w:szCs w:val="18"/>
              </w:rPr>
              <w:t xml:space="preserve">✓</w:t>
            </w:r>
          </w:p>
        </w:tc>
      </w:tr>
      <w:tr>
        <w:tc>
          <w:tcPr>
            <w:tcW w:type="dxa" w:w="2200"/>
          </w:tcPr>
          <w:p>
            <w:pPr>
              <w:spacing w:after="60" w:before="60"/>
            </w:pPr>
            <w:r>
              <w:rPr>
                <w:sz w:val="18"/>
                <w:szCs w:val="18"/>
              </w:rPr>
              <w:t xml:space="preserve">One job per worker</w:t>
            </w:r>
          </w:p>
        </w:tc>
        <w:tc>
          <w:tcPr>
            <w:tcW w:type="dxa" w:w="2386"/>
          </w:tcPr>
          <w:p>
            <w:pPr>
              <w:spacing w:after="60" w:before="60"/>
            </w:pPr>
            <w:r>
              <w:rPr>
                <w:sz w:val="18"/>
                <w:szCs w:val="18"/>
              </w:rPr>
              <w:t xml:space="preserve">✓</w:t>
            </w:r>
          </w:p>
        </w:tc>
        <w:tc>
          <w:tcPr>
            <w:tcW w:type="dxa" w:w="2387"/>
          </w:tcPr>
          <w:p>
            <w:pPr>
              <w:spacing w:after="60" w:before="60"/>
            </w:pPr>
            <w:r>
              <w:rPr>
                <w:sz w:val="18"/>
                <w:szCs w:val="18"/>
              </w:rPr>
              <w:t xml:space="preserve">✓</w:t>
            </w:r>
          </w:p>
        </w:tc>
        <w:tc>
          <w:tcPr>
            <w:tcW w:type="dxa" w:w="2387"/>
          </w:tcPr>
          <w:p>
            <w:pPr>
              <w:spacing w:after="60" w:before="60"/>
            </w:pPr>
            <w:r>
              <w:rPr>
                <w:sz w:val="18"/>
                <w:szCs w:val="18"/>
              </w:rPr>
              <w:t xml:space="preserve">✓</w:t>
            </w:r>
          </w:p>
        </w:tc>
      </w:tr>
      <w:tr>
        <w:tc>
          <w:tcPr>
            <w:tcW w:type="dxa" w:w="2200"/>
          </w:tcPr>
          <w:p>
            <w:pPr>
              <w:spacing w:after="60" w:before="60"/>
            </w:pPr>
            <w:r>
              <w:rPr>
                <w:sz w:val="18"/>
                <w:szCs w:val="18"/>
              </w:rPr>
              <w:t xml:space="preserve">POC gate mapping</w:t>
            </w:r>
          </w:p>
        </w:tc>
        <w:tc>
          <w:tcPr>
            <w:tcW w:type="dxa" w:w="2386"/>
          </w:tcPr>
          <w:p>
            <w:pPr>
              <w:spacing w:after="60" w:before="60"/>
            </w:pPr>
            <w:r>
              <w:rPr>
                <w:sz w:val="18"/>
                <w:szCs w:val="18"/>
              </w:rPr>
              <w:t xml:space="preserve">✓ References v1.2A gates</w:t>
            </w:r>
          </w:p>
        </w:tc>
        <w:tc>
          <w:tcPr>
            <w:tcW w:type="dxa" w:w="2387"/>
            <w:shd w:fill="FFF3CD" w:color="auto" w:val="clear"/>
          </w:tcPr>
          <w:p>
            <w:pPr>
              <w:spacing w:after="60" w:before="60"/>
            </w:pPr>
            <w:r>
              <w:rPr>
                <w:sz w:val="18"/>
                <w:szCs w:val="18"/>
              </w:rPr>
              <w:t xml:space="preserve">⚠ Not per-spec</w:t>
            </w:r>
          </w:p>
        </w:tc>
        <w:tc>
          <w:tcPr>
            <w:tcW w:type="dxa" w:w="2387"/>
            <w:shd w:fill="FFF3CD" w:color="auto" w:val="clear"/>
          </w:tcPr>
          <w:p>
            <w:pPr>
              <w:spacing w:after="60" w:before="60"/>
            </w:pPr>
            <w:r>
              <w:rPr>
                <w:sz w:val="18"/>
                <w:szCs w:val="18"/>
              </w:rPr>
              <w:t xml:space="preserve">⚠ Not per-spec</w:t>
            </w:r>
          </w:p>
        </w:tc>
      </w:tr>
    </w:tbl>
    <w:p>
      <w:pPr>
        <w:spacing w:after="160"/>
      </w:pPr>
      <w:r>
        <w:t xml:space="preserve"> </w:t>
      </w:r>
    </w:p>
    <w:p>
      <w:pPr>
        <w:pStyle w:val="Heading1"/>
        <w:spacing w:after="120" w:before="320"/>
      </w:pPr>
      <w:r>
        <w:t xml:space="preserve">§9 — Recommendations Summary</w:t>
      </w:r>
    </w:p>
    <w:p>
      <w:pPr>
        <w:pStyle w:val="Heading2"/>
        <w:spacing w:after="80" w:before="240"/>
      </w:pPr>
      <w:r>
        <w:t xml:space="preserve">Before approval (P1 — all three findings must be resolved)</w:t>
      </w:r>
    </w:p>
    <w:p>
      <w:pPr>
        <w:spacing w:after="60"/>
        <w:ind w:left="360"/>
      </w:pPr>
      <w:r>
        <w:rPr>
          <w:sz w:val="19"/>
          <w:szCs w:val="19"/>
        </w:rPr>
        <w:t xml:space="preserve">•  F-01: Add action gap classification table to Browser spec and Terminal spec (Desktop §3.2 pattern).</w:t>
      </w:r>
    </w:p>
    <w:p>
      <w:pPr>
        <w:spacing w:after="60"/>
        <w:ind w:left="360"/>
      </w:pPr>
      <w:r>
        <w:rPr>
          <w:sz w:val="19"/>
          <w:szCs w:val="19"/>
        </w:rPr>
        <w:t xml:space="preserve">•  F-02: Add Defaults &amp; Policies table to Browser spec and Terminal spec (Desktop §12 pattern).</w:t>
      </w:r>
    </w:p>
    <w:p>
      <w:pPr>
        <w:spacing w:after="60"/>
        <w:ind w:left="360"/>
      </w:pPr>
      <w:r>
        <w:rPr>
          <w:sz w:val="19"/>
          <w:szCs w:val="19"/>
        </w:rPr>
        <w:t xml:space="preserve">•  F-03: Add normative error taxonomy appendix to Browser spec and Terminal spec (Desktop Appendix A pattern), including explicit removal of any deprecated v1.0 error codes.</w:t>
      </w:r>
    </w:p>
    <w:p>
      <w:pPr>
        <w:spacing w:after="80"/>
      </w:pPr>
      <w:r>
        <w:t xml:space="preserve"> </w:t>
      </w:r>
    </w:p>
    <w:p>
      <w:pPr>
        <w:pStyle w:val="Heading2"/>
        <w:spacing w:after="80" w:before="240"/>
      </w:pPr>
      <w:r>
        <w:t xml:space="preserve">Before certification (P2 — recommended before integration testing)</w:t>
      </w:r>
    </w:p>
    <w:p>
      <w:pPr>
        <w:spacing w:after="60"/>
        <w:ind w:left="360"/>
      </w:pPr>
      <w:r>
        <w:rPr>
          <w:sz w:val="19"/>
          <w:szCs w:val="19"/>
        </w:rPr>
        <w:t xml:space="preserve">•  F-04: Add formal Supervisor integration requirement to Browser spec with acceptance test.</w:t>
      </w:r>
    </w:p>
    <w:p>
      <w:pPr>
        <w:spacing w:after="60"/>
        <w:ind w:left="360"/>
      </w:pPr>
      <w:r>
        <w:rPr>
          <w:sz w:val="19"/>
          <w:szCs w:val="19"/>
        </w:rPr>
        <w:t xml:space="preserve">•  F-05: Add formal foreground ownership mutual-exclusion requirement to Browser spec (headed mode) with acceptance test.</w:t>
      </w:r>
    </w:p>
    <w:p>
      <w:pPr>
        <w:spacing w:after="60"/>
        <w:ind w:left="360"/>
      </w:pPr>
      <w:r>
        <w:rPr>
          <w:sz w:val="19"/>
          <w:szCs w:val="19"/>
        </w:rPr>
        <w:t xml:space="preserve">•  F-06: Promote WSL distro isolation to a formal numbered requirement in Terminal spec with acceptance test.</w:t>
      </w:r>
    </w:p>
    <w:p>
      <w:pPr>
        <w:spacing w:after="60"/>
        <w:ind w:left="360"/>
      </w:pPr>
      <w:r>
        <w:rPr>
          <w:sz w:val="19"/>
          <w:szCs w:val="19"/>
        </w:rPr>
        <w:t xml:space="preserve">•  F-07: Specify stream buffering limits and encoding policy in Terminal spec; include in Defaults &amp; Policies table.</w:t>
      </w:r>
    </w:p>
    <w:p>
      <w:pPr>
        <w:spacing w:after="80"/>
      </w:pPr>
      <w:r>
        <w:t xml:space="preserve"> </w:t>
      </w:r>
    </w:p>
    <w:p>
      <w:pPr>
        <w:pStyle w:val="Heading2"/>
        <w:spacing w:after="80" w:before="240"/>
      </w:pPr>
      <w:r>
        <w:t xml:space="preserve">Observations (P3 — low priority)</w:t>
      </w:r>
    </w:p>
    <w:p>
      <w:pPr>
        <w:spacing w:after="60"/>
        <w:ind w:left="360"/>
      </w:pPr>
      <w:r>
        <w:rPr>
          <w:sz w:val="19"/>
          <w:szCs w:val="19"/>
        </w:rPr>
        <w:t xml:space="preserve">•  F-08: Add POC-01–POC-10 gate applicability table to each spec listing which gates apply per deployment mode.</w:t>
      </w:r>
    </w:p>
    <w:p>
      <w:pPr>
        <w:spacing w:after="60"/>
        <w:ind w:left="360"/>
      </w:pPr>
      <w:r>
        <w:rPr>
          <w:sz w:val="19"/>
          <w:szCs w:val="19"/>
        </w:rPr>
        <w:t xml:space="preserve">•  F-09: Add normative selector/locator JSON schema section to Browser spec; normative command-reference schema to Terminal spec.</w:t>
      </w:r>
    </w:p>
    <w:p>
      <w:pPr>
        <w:spacing w:after="160"/>
      </w:pPr>
      <w:r>
        <w:t xml:space="preserve"> </w:t>
      </w:r>
    </w:p>
    <w:p>
      <w:pPr>
        <w:pStyle w:val="Heading1"/>
        <w:spacing w:after="120" w:before="320"/>
      </w:pPr>
      <w:r>
        <w:t xml:space="preserve">§10 — Conclusion</w:t>
      </w:r>
    </w:p>
    <w:p>
      <w:pPr>
        <w:spacing w:after="100"/>
      </w:pPr>
      <w:r>
        <w:rPr>
          <w:sz w:val="20"/>
          <w:szCs w:val="20"/>
        </w:rPr>
        <w:t xml:space="preserve">Both the Browser Runtime v1.1 Aligned and Terminal Runtime v1.1 Aligned specifications demonstrate sound architectural thinking and correct adoption of the CEC v1.0.1 contract. The boundary definitions, prohibited actions, and failure semantics are well-considered and consistent with the Architecture v1.2A governing document.</w:t>
      </w:r>
    </w:p>
    <w:p>
      <w:pPr>
        <w:spacing w:after="100"/>
      </w:pPr>
      <w:r>
        <w:rPr>
          <w:sz w:val="20"/>
          <w:szCs w:val="20"/>
        </w:rPr>
        <w:t xml:space="preserve">The three P1 findings are structural gaps — tables that were specifically added to the Desktop v1.1 spec after the architect review cycle, but have not yet been applied symmetrically to the parallel runtimes. Resolving them will bring all three specs to a uniform depth and make certification testing tractable.</w:t>
      </w:r>
    </w:p>
    <w:p>
      <w:pPr>
        <w:spacing w:after="100"/>
      </w:pPr>
      <w:r>
        <w:rPr>
          <w:sz w:val="20"/>
          <w:szCs w:val="20"/>
        </w:rPr>
        <w:t xml:space="preserve">The four P2 findings address specific security and integration boundaries that are either in the alignment register or mentioned informally, but need to become formal testable requirements before integration certification.</w:t>
      </w:r>
    </w:p>
    <w:p>
      <w:pPr>
        <w:spacing w:after="100"/>
      </w:pPr>
      <w:r>
        <w:rPr>
          <w:sz w:val="20"/>
          <w:szCs w:val="20"/>
        </w:rPr>
        <w:t xml:space="preserve">Recommended next step: the authors produce a v1.2 revision of each spec incorporating the P1 and P2 findings, then resubmit for architect sign-off. The P3 items can be folded in at the same time or deferred to the next review cycle.</w:t>
      </w:r>
    </w:p>
    <w:p>
      <w:pPr>
        <w:spacing w:after="80"/>
      </w:pPr>
      <w:r>
        <w:t xml:space="preserve"> </w:t>
      </w:r>
    </w:p>
    <w:p>
      <w:pPr>
        <w:pBdr>
          <w:bottom w:val="single" w:color="E0E0E0" w:sz="6"/>
        </w:pBdr>
        <w:spacing w:after="120"/>
      </w:pPr>
    </w:p>
    <w:p>
      <w:pPr>
        <w:spacing w:before="120"/>
        <w:jc w:val="center"/>
      </w:pPr>
      <w:r>
        <w:rPr>
          <w:i/>
          <w:iCs/>
          <w:color w:val="888888"/>
          <w:sz w:val="18"/>
          <w:szCs w:val="18"/>
        </w:rPr>
        <w:t xml:space="preserve">End of review document — Tracto Parallel Runtimes Review v1.0 — 24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Runtimes Specification Review</dc:title>
  <dc:creator>Tracto Architecture Review</dc:creator>
  <dc:description>Review of Browser and Terminal Runtime Specs v1.1 against Architecture v1.2A and Desktop Runtime reference</dc:description>
  <cp:lastModifiedBy>Un-named</cp:lastModifiedBy>
  <cp:revision>1</cp:revision>
  <dcterms:created xsi:type="dcterms:W3CDTF">2026-10-24T09:38:03.825Z</dcterms:created>
  <dcterms:modified xsi:type="dcterms:W3CDTF">2026-10-24T09:38:03.826Z</dcterms:modified>
</cp:coreProperties>
</file>

<file path=docProps/custom.xml><?xml version="1.0" encoding="utf-8"?>
<Properties xmlns="http://schemas.openxmlformats.org/officeDocument/2006/custom-properties" xmlns:vt="http://schemas.openxmlformats.org/officeDocument/2006/docPropsVTypes"/>
</file>