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rPr>
        <w:t>TRACTO  /  ARCHITECTURE-ALIGNED SPECIFICATION</w:t>
      </w:r>
    </w:p>
    <w:p>
      <w:pPr>
        <w:pStyle w:val="Title"/>
      </w:pPr>
      <w:r>
        <w:t>Browser Runtime — Functional Requirements</w:t>
      </w:r>
    </w:p>
    <w:p>
      <w:pPr>
        <w:pStyle w:val="Subtitle"/>
      </w:pPr>
      <w:r>
        <w:t>Part A shared host responsibilities + Part B Playwright Browser Execution Engine</w:t>
      </w:r>
    </w:p>
    <w:p>
      <w:r>
        <w:t>REVISED v1.1   |   24 October 2026   |   Functional specification for approval</w:t>
      </w:r>
    </w:p>
    <w:p>
      <w:pPr>
        <w:pStyle w:val="Caption"/>
      </w:pPr>
      <w:r>
        <w:t>Status: Proposed independent Runtime functional baseline; architecture v1.2A unchanged. Implemented Stage 1 CEC v1.0.1 governs shared behavior; runtime and deployment certification are pending.</w:t>
      </w:r>
    </w:p>
    <w:p>
      <w:pPr>
        <w:pStyle w:val="Heading1"/>
      </w:pPr>
      <w:r>
        <w:t>1. Scope and relationship to the architecture</w:t>
      </w:r>
    </w:p>
    <w:p>
      <w:r>
        <w:t>The Browser Runtime is an independently packaged .NET application using Playwright for .NET to deterministically perform authorized website interactions in certified headed/headless modes. It invokes only registered independent custom business services through service.invoke; ordinary website navigation and its network traffic are browser UI interaction, not a general business API adapter. Browser releases do not depend on the Desktop team.</w:t>
      </w:r>
    </w:p>
    <w:p>
      <w:r>
        <w:t>This is one independently delivered .NET application in the Tracto Runtime family. The product still has three logical components: Designer, Runtime family and Orchestrator. This document is Part A + Part B: Part A references mandatory shared host behavior; Part B defines only this runtime’s own actions, environment, failure conditions and acceptance tests.</w:t>
      </w:r>
    </w:p>
    <w:tbl>
      <w:tblPr>
        <w:tblStyle w:val="LightShading-Accent1"/>
        <w:tblW w:type="auto" w:w="0"/>
        <w:jc w:val="center"/>
        <w:tblLook w:firstColumn="1" w:firstRow="1" w:lastColumn="0" w:lastRow="0" w:noHBand="0" w:noVBand="1" w:val="04A0"/>
      </w:tblPr>
      <w:tblGrid>
        <w:gridCol w:w="4925"/>
        <w:gridCol w:w="4925"/>
      </w:tblGrid>
      <w:tr>
        <w:trPr>
          <w:tblHeader w:val="true"/>
        </w:trPr>
        <w:tc>
          <w:tcPr>
            <w:tcW w:type="dxa" w:w="4925"/>
            <w:shd w:fill="EAF3F6"/>
          </w:tcPr>
          <w:p>
            <w:r>
              <w:t>Included in this document</w:t>
            </w:r>
          </w:p>
        </w:tc>
        <w:tc>
          <w:tcPr>
            <w:tcW w:type="dxa" w:w="4925"/>
            <w:shd w:fill="EAF3F6"/>
          </w:tcPr>
          <w:p>
            <w:r>
              <w:t>Outside this Runtime</w:t>
            </w:r>
          </w:p>
        </w:tc>
      </w:tr>
      <w:tr>
        <w:tc>
          <w:tcPr>
            <w:tcW w:type="dxa" w:w="4925"/>
            <w:vAlign w:val="center"/>
          </w:tcPr>
          <w:p>
            <w:r>
              <w:rPr>
                <w:b/>
              </w:rPr>
              <w:t>DOM targeting, navigation, browser contexts, downloads/uploads, tabs, dialogs, authentication interaction and headed/headless operation</w:t>
            </w:r>
          </w:p>
        </w:tc>
        <w:tc>
          <w:tcPr>
            <w:tcW w:type="dxa" w:w="4925"/>
            <w:vAlign w:val="center"/>
          </w:tcPr>
          <w:p>
            <w:r>
              <w:t>Business-rule JavaScript evaluation; browser fingerprint evasion; defeating CAPTCHA/MFA; unattended login bypass; pixel-only remote desktop; cross-engine script mixing</w:t>
            </w:r>
          </w:p>
        </w:tc>
      </w:tr>
      <w:tr>
        <w:tc>
          <w:tcPr>
            <w:tcW w:type="dxa" w:w="4925"/>
            <w:vAlign w:val="center"/>
          </w:tcPr>
          <w:p>
            <w:r>
              <w:rPr>
                <w:b/>
              </w:rPr>
              <w:t>Runtime-specific technical actions, waits, recovery and certified fixtures</w:t>
            </w:r>
          </w:p>
        </w:tc>
        <w:tc>
          <w:tcPr>
            <w:tcW w:type="dxa" w:w="4925"/>
            <w:vAlign w:val="center"/>
          </w:tcPr>
          <w:p>
            <w:r>
              <w:t>Business rules, calculations, enrichment, reconciliation, persistence, transaction compensation</w:t>
            </w:r>
          </w:p>
        </w:tc>
      </w:tr>
      <w:tr>
        <w:tc>
          <w:tcPr>
            <w:tcW w:type="dxa" w:w="4925"/>
            <w:vAlign w:val="center"/>
          </w:tcPr>
          <w:p>
            <w:r>
              <w:t>Conformance to completed Common Execution Contract v1.0.1</w:t>
            </w:r>
          </w:p>
        </w:tc>
        <w:tc>
          <w:tcPr>
            <w:tcW w:type="dxa" w:w="4925"/>
            <w:vAlign w:val="center"/>
          </w:tcPr>
          <w:p>
            <w:r>
              <w:t>Designer AI generation, Orchestrator scheduling logic, other runtimes’ action catalogues</w:t>
            </w:r>
          </w:p>
        </w:tc>
      </w:tr>
    </w:tbl>
    <w:p/>
    <w:p>
      <w:pPr>
        <w:pStyle w:val="Heading1"/>
      </w:pPr>
      <w:r>
        <w:t>2. Part A — Shared Runtime Host obligations</w:t>
      </w:r>
    </w:p>
    <w:p>
      <w:r>
        <w:t>The following host obligations are required for every worker; the canonical wire, result and condition semantics belong to the Common Execution &amp; Orchestrator Interface Contract. A runtime team may share .NET libraries or implement these separately, but must pass the same conformance fixtures.</w:t>
      </w:r>
    </w:p>
    <w:p>
      <w:pPr>
        <w:pStyle w:val="Heading2"/>
      </w:pPr>
      <w:r>
        <w:t>2.0 Shared host contract reference</w:t>
      </w:r>
    </w:p>
    <w:p>
      <w:r>
        <w:t>This Runtime conforms to CEC-HOST-001 through CEC-HOST-009 in the Common Execution &amp; Orchestrator Interface Contract v1.0.1. Those normative host requirements are defined once in the CEC rather than duplicated as HOST-001–HOST-009 here. Only engine-specific obligations are specified below.</w:t>
      </w:r>
    </w:p>
    <w:p>
      <w:r>
        <w:t>All programmatic API invocations use service.invoke to a registered independently developed custom business service; no direct third-party business API or database integration is implemented in Tracto Runtime. Normal UI/website/shell interactions with authorized target applications remain in scope.</w:t>
      </w:r>
    </w:p>
    <w:p>
      <w:pPr>
        <w:pStyle w:val="Heading1"/>
      </w:pPr>
      <w:r>
        <w:t>2.1 Invocation and execution model</w:t>
      </w:r>
    </w:p>
    <w:p>
      <w:r>
        <w:t>1. A configured worker advertises its runtimeType, capabilities, worker version and supported schema majors.</w:t>
      </w:r>
    </w:p>
    <w:p>
      <w:r>
        <w:t>2. Worker initiates authenticated outbound pull; receives a run/attempt-bound lease and immutable artifact reference.</w:t>
      </w:r>
    </w:p>
    <w:p>
      <w:r>
        <w:t>3. Before side effects, verify signatures, input types, environment permissions, policy refs and workload compatibility.</w:t>
      </w:r>
    </w:p>
    <w:p>
      <w:r>
        <w:t>4. Execute runtime-specific steps with bounded deadlines, technical pre/postconditions and action status evidence.</w:t>
      </w:r>
    </w:p>
    <w:p>
      <w:r>
        <w:t>5. Handle a synchronous registered custom-service response or an acknowledged asynchronous handoff; never call third-party business APIs directly or make business decisions.</w:t>
      </w:r>
    </w:p>
    <w:p>
      <w:r>
        <w:t>6. Write local run journal and send final result. Reconcile after disconnect; release job capacity and runtime-specific resources.</w:t>
      </w:r>
    </w:p>
    <w:p>
      <w:pPr>
        <w:pStyle w:val="Heading1"/>
      </w:pPr>
      <w:r>
        <w:t>2.2 Worker/session and deployment assumptions</w:t>
      </w:r>
    </w:p>
    <w:p>
      <w:r>
        <w:t>One job per registered bot worker in v1. Worker processes are separate applications, and multiple workers may share a host only where capacity and session/input isolation allow. Isolated deployment uses the single Windows Runtime Host Supervisor to supervise WSL2/Docker/Orchestrator; it is shared infrastructure within the Runtime family, not an additional product component. Host/interactive-session POC-01–POC-10 gates remain those of architecture v1.2A.</w:t>
      </w:r>
    </w:p>
    <w:p>
      <w:pPr>
        <w:pStyle w:val="Heading1"/>
      </w:pPr>
      <w:r>
        <w:t>3. Part B — Browser environment and v1 boundaries</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Area</w:t>
            </w:r>
          </w:p>
        </w:tc>
        <w:tc>
          <w:tcPr>
            <w:tcW w:type="dxa" w:w="3283"/>
            <w:shd w:fill="EAF3F6"/>
          </w:tcPr>
          <w:p>
            <w:r>
              <w:t>v1 support baseline</w:t>
            </w:r>
          </w:p>
        </w:tc>
        <w:tc>
          <w:tcPr>
            <w:tcW w:type="dxa" w:w="3283"/>
            <w:shd w:fill="EAF3F6"/>
          </w:tcPr>
          <w:p>
            <w:r>
              <w:t>Limit / exclusion</w:t>
            </w:r>
          </w:p>
        </w:tc>
      </w:tr>
      <w:tr>
        <w:tc>
          <w:tcPr>
            <w:tcW w:type="dxa" w:w="3283"/>
            <w:vAlign w:val="center"/>
          </w:tcPr>
          <w:p>
            <w:r>
              <w:rPr>
                <w:b/>
              </w:rPr>
              <w:t>Browser engine</w:t>
            </w:r>
          </w:p>
        </w:tc>
        <w:tc>
          <w:tcPr>
            <w:tcW w:type="dxa" w:w="3283"/>
            <w:vAlign w:val="center"/>
          </w:tcPr>
          <w:p>
            <w:r>
              <w:t>Playwright for .NET; selected browser binaries and versions certified</w:t>
            </w:r>
          </w:p>
        </w:tc>
        <w:tc>
          <w:tcPr>
            <w:tcW w:type="dxa" w:w="3283"/>
            <w:vAlign w:val="center"/>
          </w:tcPr>
          <w:p>
            <w:r>
              <w:t>No guarantee of all browsers/extensions/platforms</w:t>
            </w:r>
          </w:p>
        </w:tc>
      </w:tr>
      <w:tr>
        <w:tc>
          <w:tcPr>
            <w:tcW w:type="dxa" w:w="3283"/>
            <w:vAlign w:val="center"/>
          </w:tcPr>
          <w:p>
            <w:r>
              <w:rPr>
                <w:b/>
              </w:rPr>
              <w:t>Execution mode</w:t>
            </w:r>
          </w:p>
        </w:tc>
        <w:tc>
          <w:tcPr>
            <w:tcW w:type="dxa" w:w="3283"/>
            <w:vAlign w:val="center"/>
          </w:tcPr>
          <w:p>
            <w:r>
              <w:t>Headless (preferred for unattended) and headed where authorized</w:t>
            </w:r>
          </w:p>
        </w:tc>
        <w:tc>
          <w:tcPr>
            <w:tcW w:type="dxa" w:w="3283"/>
            <w:vAlign w:val="center"/>
          </w:tcPr>
          <w:p>
            <w:r>
              <w:t>Headed shares session-level foreground-input exclusion with Desktop</w:t>
            </w:r>
          </w:p>
        </w:tc>
      </w:tr>
      <w:tr>
        <w:tc>
          <w:tcPr>
            <w:tcW w:type="dxa" w:w="3283"/>
            <w:vAlign w:val="center"/>
          </w:tcPr>
          <w:p>
            <w:r>
              <w:rPr>
                <w:b/>
              </w:rPr>
              <w:t>Locator hierarchy</w:t>
            </w:r>
          </w:p>
        </w:tc>
        <w:tc>
          <w:tcPr>
            <w:tcW w:type="dxa" w:w="3283"/>
            <w:vAlign w:val="center"/>
          </w:tcPr>
          <w:p>
            <w:r>
              <w:t>Role/name, label, placeholder, test ID, scoped text, CSS as last semantic fallback</w:t>
            </w:r>
          </w:p>
        </w:tc>
        <w:tc>
          <w:tcPr>
            <w:tcW w:type="dxa" w:w="3283"/>
            <w:vAlign w:val="center"/>
          </w:tcPr>
          <w:p>
            <w:r>
              <w:t>No arbitrary image/OCR targeting; no browser automation evasion</w:t>
            </w:r>
          </w:p>
        </w:tc>
      </w:tr>
      <w:tr>
        <w:tc>
          <w:tcPr>
            <w:tcW w:type="dxa" w:w="3283"/>
            <w:vAlign w:val="center"/>
          </w:tcPr>
          <w:p>
            <w:r>
              <w:rPr>
                <w:b/>
              </w:rPr>
              <w:t>Page structure</w:t>
            </w:r>
          </w:p>
        </w:tc>
        <w:tc>
          <w:tcPr>
            <w:tcW w:type="dxa" w:w="3283"/>
            <w:vAlign w:val="center"/>
          </w:tcPr>
          <w:p>
            <w:r>
              <w:t>Tabs, frames/iframes, supported shadow-root elements</w:t>
            </w:r>
          </w:p>
        </w:tc>
        <w:tc>
          <w:tcPr>
            <w:tcW w:type="dxa" w:w="3283"/>
            <w:vAlign w:val="center"/>
          </w:tcPr>
          <w:p>
            <w:r>
              <w:t>Cross-origin and browser security restrictions remain enforced</w:t>
            </w:r>
          </w:p>
        </w:tc>
      </w:tr>
      <w:tr>
        <w:tc>
          <w:tcPr>
            <w:tcW w:type="dxa" w:w="3283"/>
            <w:vAlign w:val="center"/>
          </w:tcPr>
          <w:p>
            <w:r>
              <w:rPr>
                <w:b/>
              </w:rPr>
              <w:t>API calls</w:t>
            </w:r>
          </w:p>
        </w:tc>
        <w:tc>
          <w:tcPr>
            <w:tcW w:type="dxa" w:w="3283"/>
            <w:vAlign w:val="center"/>
          </w:tcPr>
          <w:p>
            <w:r>
              <w:t>Shared service.invoke to registered custom business services and outcome taxonomy</w:t>
            </w:r>
          </w:p>
        </w:tc>
        <w:tc>
          <w:tcPr>
            <w:tcW w:type="dxa" w:w="3283"/>
            <w:vAlign w:val="center"/>
          </w:tcPr>
          <w:p>
            <w:r>
              <w:t>Domain computation and cross-system business decisions are external</w:t>
            </w:r>
          </w:p>
        </w:tc>
      </w:tr>
      <w:tr>
        <w:tc>
          <w:tcPr>
            <w:tcW w:type="dxa" w:w="3283"/>
            <w:vAlign w:val="center"/>
          </w:tcPr>
          <w:p>
            <w:r>
              <w:rPr>
                <w:b/>
              </w:rPr>
              <w:t>Recording</w:t>
            </w:r>
          </w:p>
        </w:tc>
        <w:tc>
          <w:tcPr>
            <w:tcW w:type="dxa" w:w="3283"/>
            <w:vAlign w:val="center"/>
          </w:tcPr>
          <w:p>
            <w:r>
              <w:t>Playwright capture/trace/recording adapters eventually exposed to Designer</w:t>
            </w:r>
          </w:p>
        </w:tc>
        <w:tc>
          <w:tcPr>
            <w:tcW w:type="dxa" w:w="3283"/>
            <w:vAlign w:val="center"/>
          </w:tcPr>
          <w:p>
            <w:r>
              <w:t>Not a separate script interpreter; full Designer spec later</w:t>
            </w:r>
          </w:p>
        </w:tc>
      </w:tr>
    </w:tbl>
    <w:p/>
    <w:p>
      <w:pPr>
        <w:pStyle w:val="Heading1"/>
      </w:pPr>
      <w:r>
        <w:t>3.1 Required browser action catalogue</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Category</w:t>
            </w:r>
          </w:p>
        </w:tc>
        <w:tc>
          <w:tcPr>
            <w:tcW w:type="dxa" w:w="3283"/>
            <w:shd w:fill="EAF3F6"/>
          </w:tcPr>
          <w:p>
            <w:r>
              <w:t>v1 required</w:t>
            </w:r>
          </w:p>
        </w:tc>
        <w:tc>
          <w:tcPr>
            <w:tcW w:type="dxa" w:w="3283"/>
            <w:shd w:fill="EAF3F6"/>
          </w:tcPr>
          <w:p>
            <w:r>
              <w:t>Deferred or conditional</w:t>
            </w:r>
          </w:p>
        </w:tc>
      </w:tr>
      <w:tr>
        <w:tc>
          <w:tcPr>
            <w:tcW w:type="dxa" w:w="3283"/>
            <w:vAlign w:val="center"/>
          </w:tcPr>
          <w:p>
            <w:r>
              <w:rPr>
                <w:b/>
              </w:rPr>
              <w:t>Context / page</w:t>
            </w:r>
          </w:p>
        </w:tc>
        <w:tc>
          <w:tcPr>
            <w:tcW w:type="dxa" w:w="3283"/>
            <w:vAlign w:val="center"/>
          </w:tcPr>
          <w:p>
            <w:r>
              <w:t>launch, new context, open, navigate, reload, back/forward, close</w:t>
            </w:r>
          </w:p>
        </w:tc>
        <w:tc>
          <w:tcPr>
            <w:tcW w:type="dxa" w:w="3283"/>
            <w:vAlign w:val="center"/>
          </w:tcPr>
          <w:p>
            <w:r>
              <w:t>Unrestricted stealth/fingerprinting configuration</w:t>
            </w:r>
          </w:p>
        </w:tc>
      </w:tr>
      <w:tr>
        <w:tc>
          <w:tcPr>
            <w:tcW w:type="dxa" w:w="3283"/>
            <w:vAlign w:val="center"/>
          </w:tcPr>
          <w:p>
            <w:r>
              <w:rPr>
                <w:b/>
              </w:rPr>
              <w:t>Locators</w:t>
            </w:r>
          </w:p>
        </w:tc>
        <w:tc>
          <w:tcPr>
            <w:tcW w:type="dxa" w:w="3283"/>
            <w:vAlign w:val="center"/>
          </w:tcPr>
          <w:p>
            <w:r>
              <w:t>role, label, placeholder, testID, text in technical navigation, scoped DOM/frames</w:t>
            </w:r>
          </w:p>
        </w:tc>
        <w:tc>
          <w:tcPr>
            <w:tcW w:type="dxa" w:w="3283"/>
            <w:vAlign w:val="center"/>
          </w:tcPr>
          <w:p>
            <w:r>
              <w:t>Image/OCR locators; application business-value predicates</w:t>
            </w:r>
          </w:p>
        </w:tc>
      </w:tr>
      <w:tr>
        <w:tc>
          <w:tcPr>
            <w:tcW w:type="dxa" w:w="3283"/>
            <w:vAlign w:val="center"/>
          </w:tcPr>
          <w:p>
            <w:r>
              <w:rPr>
                <w:b/>
              </w:rPr>
              <w:t>Interactions</w:t>
            </w:r>
          </w:p>
        </w:tc>
        <w:tc>
          <w:tcPr>
            <w:tcW w:type="dxa" w:w="3283"/>
            <w:vAlign w:val="center"/>
          </w:tcPr>
          <w:p>
            <w:r>
              <w:t>click, double-click, hover, fill/type, clear, check, select, keyboard shortcuts, scroll, drag if supported</w:t>
            </w:r>
          </w:p>
        </w:tc>
        <w:tc>
          <w:tcPr>
            <w:tcW w:type="dxa" w:w="3283"/>
            <w:vAlign w:val="center"/>
          </w:tcPr>
          <w:p>
            <w:r>
              <w:t>Gesture-only/mobile emulation outside certified browsers</w:t>
            </w:r>
          </w:p>
        </w:tc>
      </w:tr>
      <w:tr>
        <w:tc>
          <w:tcPr>
            <w:tcW w:type="dxa" w:w="3283"/>
            <w:vAlign w:val="center"/>
          </w:tcPr>
          <w:p>
            <w:r>
              <w:rPr>
                <w:b/>
              </w:rPr>
              <w:t>Browser UI</w:t>
            </w:r>
          </w:p>
        </w:tc>
        <w:tc>
          <w:tcPr>
            <w:tcW w:type="dxa" w:w="3283"/>
            <w:vAlign w:val="center"/>
          </w:tcPr>
          <w:p>
            <w:r>
              <w:t>dialog accept/dismiss, tab/popup switch, downloads/uploads, file chooser</w:t>
            </w:r>
          </w:p>
        </w:tc>
        <w:tc>
          <w:tcPr>
            <w:tcW w:type="dxa" w:w="3283"/>
            <w:vAlign w:val="center"/>
          </w:tcPr>
          <w:p>
            <w:r>
              <w:t>Bypassing OS/browser security prompts</w:t>
            </w:r>
          </w:p>
        </w:tc>
      </w:tr>
      <w:tr>
        <w:tc>
          <w:tcPr>
            <w:tcW w:type="dxa" w:w="3283"/>
            <w:vAlign w:val="center"/>
          </w:tcPr>
          <w:p>
            <w:r>
              <w:rPr>
                <w:b/>
              </w:rPr>
              <w:t>State checks</w:t>
            </w:r>
          </w:p>
        </w:tc>
        <w:tc>
          <w:tcPr>
            <w:tcW w:type="dxa" w:w="3283"/>
            <w:vAlign w:val="center"/>
          </w:tcPr>
          <w:p>
            <w:r>
              <w:t>visible, enabled, attached/detached, expected URL, checked, displayed technical text</w:t>
            </w:r>
          </w:p>
        </w:tc>
        <w:tc>
          <w:tcPr>
            <w:tcW w:type="dxa" w:w="3283"/>
            <w:vAlign w:val="center"/>
          </w:tcPr>
          <w:p>
            <w:r>
              <w:t>Domain calculation from page price/amount</w:t>
            </w:r>
          </w:p>
        </w:tc>
      </w:tr>
      <w:tr>
        <w:tc>
          <w:tcPr>
            <w:tcW w:type="dxa" w:w="3283"/>
            <w:vAlign w:val="center"/>
          </w:tcPr>
          <w:p>
            <w:r>
              <w:rPr>
                <w:b/>
              </w:rPr>
              <w:t>Session handling</w:t>
            </w:r>
          </w:p>
        </w:tc>
        <w:tc>
          <w:tcPr>
            <w:tcW w:type="dxa" w:w="3283"/>
            <w:vAlign w:val="center"/>
          </w:tcPr>
          <w:p>
            <w:r>
              <w:t>browser profile isolation, approved cookies/storageState, expiry/relogin detection</w:t>
            </w:r>
          </w:p>
        </w:tc>
        <w:tc>
          <w:tcPr>
            <w:tcW w:type="dxa" w:w="3283"/>
            <w:vAlign w:val="center"/>
          </w:tcPr>
          <w:p>
            <w:r>
              <w:t>Exporting live credentials into script or logs</w:t>
            </w:r>
          </w:p>
        </w:tc>
      </w:tr>
      <w:tr>
        <w:tc>
          <w:tcPr>
            <w:tcW w:type="dxa" w:w="3283"/>
            <w:vAlign w:val="center"/>
          </w:tcPr>
          <w:p>
            <w:r>
              <w:rPr>
                <w:b/>
              </w:rPr>
              <w:t>Diagnostics</w:t>
            </w:r>
          </w:p>
        </w:tc>
        <w:tc>
          <w:tcPr>
            <w:tcW w:type="dxa" w:w="3283"/>
            <w:vAlign w:val="center"/>
          </w:tcPr>
          <w:p>
            <w:r>
              <w:t>trace, sanitized screenshot, network error summary, console summary</w:t>
            </w:r>
          </w:p>
        </w:tc>
        <w:tc>
          <w:tcPr>
            <w:tcW w:type="dxa" w:w="3283"/>
            <w:vAlign w:val="center"/>
          </w:tcPr>
          <w:p>
            <w:r>
              <w:t>Bulk HAR capture containing secret request bodies by default</w:t>
            </w:r>
          </w:p>
        </w:tc>
      </w:tr>
    </w:tbl>
    <w:p/>
    <w:p>
      <w:pPr>
        <w:pStyle w:val="Heading1"/>
      </w:pPr>
      <w:r>
        <w:t>4. Browser lifecycle and environment</w:t>
      </w:r>
    </w:p>
    <w:p>
      <w:pPr>
        <w:pStyle w:val="Heading3"/>
      </w:pPr>
      <w:r>
        <w:t>BRW-001  Browser binary provisioning</w:t>
      </w:r>
    </w:p>
    <w:p>
      <w:r>
        <w:rPr>
          <w:b/>
        </w:rPr>
        <w:t xml:space="preserve">Requirement  </w:t>
      </w:r>
      <w:r>
        <w:t>Validate signed/approved Playwright browser versions and required dependencies before run starts.</w:t>
      </w:r>
    </w:p>
    <w:p>
      <w:r>
        <w:t>Acceptance  Missing browser binary yields errorCategory=ENVIRONMENT and detailCode=browser.notInstalled before interacting with site.</w:t>
      </w:r>
    </w:p>
    <w:p>
      <w:pPr>
        <w:pStyle w:val="Heading3"/>
      </w:pPr>
      <w:r>
        <w:t>BRW-002  Headless/headed selection</w:t>
      </w:r>
    </w:p>
    <w:p>
      <w:r>
        <w:rPr>
          <w:b/>
        </w:rPr>
        <w:t xml:space="preserve">Requirement  </w:t>
      </w:r>
      <w:r>
        <w:t>Support policy-declared headless and headed execution; report mode and session requirements to Orchestrator.</w:t>
      </w:r>
    </w:p>
    <w:p>
      <w:r>
        <w:rPr>
          <w:b/>
        </w:rPr>
        <w:t xml:space="preserve">Acceptance  </w:t>
      </w:r>
      <w:r>
        <w:t>Headless job runs without desktop logon; headed job requires authorized active session and exclusive input where necessary.</w:t>
      </w:r>
    </w:p>
    <w:p>
      <w:pPr>
        <w:pStyle w:val="Heading3"/>
      </w:pPr>
      <w:r>
        <w:t>BRW-003  Context isolation</w:t>
      </w:r>
    </w:p>
    <w:p>
      <w:r>
        <w:rPr>
          <w:b/>
        </w:rPr>
        <w:t xml:space="preserve">Requirement  </w:t>
      </w:r>
      <w:r>
        <w:t>Create per-run browser context for cookies, cache, local storage, credentials and downloads unless explicit approved profile reuse.</w:t>
      </w:r>
    </w:p>
    <w:p>
      <w:r>
        <w:rPr>
          <w:b/>
        </w:rPr>
        <w:t xml:space="preserve">Acceptance  </w:t>
      </w:r>
      <w:r>
        <w:t>Two independently leased workers cannot read each other’s session state.</w:t>
      </w:r>
    </w:p>
    <w:p>
      <w:pPr>
        <w:pStyle w:val="Heading3"/>
      </w:pPr>
      <w:r>
        <w:t>BRW-004  Process lifecycle</w:t>
      </w:r>
    </w:p>
    <w:p>
      <w:r>
        <w:rPr>
          <w:b/>
        </w:rPr>
        <w:t xml:space="preserve">Requirement  </w:t>
      </w:r>
      <w:r>
        <w:t>Launch and close browser-owned processes and terminate run-owned contexts on timeout/cancel.</w:t>
      </w:r>
    </w:p>
    <w:p>
      <w:r>
        <w:rPr>
          <w:b/>
        </w:rPr>
        <w:t xml:space="preserve">Acceptance  </w:t>
      </w:r>
      <w:r>
        <w:t>Browser crash leads to failure and no orphaned worker-owned browser process.</w:t>
      </w:r>
    </w:p>
    <w:p>
      <w:pPr>
        <w:pStyle w:val="Heading3"/>
      </w:pPr>
      <w:r>
        <w:t>BRW-005  Approved URL/host policy</w:t>
      </w:r>
    </w:p>
    <w:p>
      <w:r>
        <w:rPr>
          <w:b/>
        </w:rPr>
        <w:t xml:space="preserve">Requirement  </w:t>
      </w:r>
      <w:r>
        <w:t>Restrict navigation and redirects to policy-authorized origins, protocols and download destinations.</w:t>
      </w:r>
    </w:p>
    <w:p>
      <w:r>
        <w:t>Acceptance  Redirect to non-allowlisted origin is blocked with errorCategory=POLICY_DENIED with browser.originDenied detail.</w:t>
      </w:r>
    </w:p>
    <w:p>
      <w:pPr>
        <w:pStyle w:val="Heading3"/>
      </w:pPr>
      <w:r>
        <w:t>BRW-006  Browser/environment metadata</w:t>
      </w:r>
    </w:p>
    <w:p>
      <w:r>
        <w:rPr>
          <w:b/>
        </w:rPr>
        <w:t xml:space="preserve">Requirement  </w:t>
      </w:r>
      <w:r>
        <w:t>Report browser engine/version, mode, viewport, locale, timezone, TLS/proxy config reference and capability digest.</w:t>
      </w:r>
    </w:p>
    <w:p>
      <w:r>
        <w:rPr>
          <w:b/>
        </w:rPr>
        <w:t xml:space="preserve">Acceptance  </w:t>
      </w:r>
      <w:r>
        <w:t>Diagnostics identify environment necessary to reproduce failure without logging credentials.</w:t>
      </w:r>
    </w:p>
    <w:p>
      <w:pPr>
        <w:pStyle w:val="Heading3"/>
      </w:pPr>
      <w:r>
        <w:t>BRW-007  Viewport reproducibility</w:t>
      </w:r>
    </w:p>
    <w:p>
      <w:r>
        <w:rPr>
          <w:b/>
        </w:rPr>
        <w:t xml:space="preserve">Requirement  </w:t>
      </w:r>
      <w:r>
        <w:t>Declare viewport and device-scale-factor for repeatable DOM behavior; prefer selectors insensitive to layout.</w:t>
      </w:r>
    </w:p>
    <w:p>
      <w:r>
        <w:rPr>
          <w:b/>
        </w:rPr>
        <w:t xml:space="preserve">Acceptance  </w:t>
      </w:r>
      <w:r>
        <w:t>Responsive fixture passes at certified viewport and explicitly fails if unsupported viewport is supplied.</w:t>
      </w:r>
    </w:p>
    <w:p>
      <w:pPr>
        <w:pStyle w:val="Heading3"/>
      </w:pPr>
      <w:r>
        <w:t>BRW-008  Network and proxy access</w:t>
      </w:r>
    </w:p>
    <w:p>
      <w:r>
        <w:rPr>
          <w:b/>
        </w:rPr>
        <w:t xml:space="preserve">Requirement  </w:t>
      </w:r>
      <w:r>
        <w:t>Honor enterprise proxy/certificate settings without bypassing TLS verification or logging secrets.</w:t>
      </w:r>
    </w:p>
    <w:p>
      <w:r>
        <w:rPr>
          <w:b/>
        </w:rPr>
        <w:t xml:space="preserve">Acceptance  </w:t>
      </w:r>
      <w:r>
        <w:t>Bad certificate is not bypassed; proxy failure produces categorized transport error.</w:t>
      </w:r>
    </w:p>
    <w:p>
      <w:pPr>
        <w:pStyle w:val="Heading1"/>
      </w:pPr>
      <w:r>
        <w:t>5. Locator and DOM operation model</w:t>
      </w:r>
    </w:p>
    <w:p>
      <w:pPr>
        <w:pStyle w:val="Heading3"/>
      </w:pPr>
      <w:r>
        <w:t>DOM-001  Semantic locator preference</w:t>
      </w:r>
    </w:p>
    <w:p>
      <w:r>
        <w:rPr>
          <w:b/>
        </w:rPr>
        <w:t xml:space="preserve">Requirement  </w:t>
      </w:r>
      <w:r>
        <w:t>Resolve by role/accessibility name, label, placeholder, test ID and scoped associations before raw CSS.</w:t>
      </w:r>
    </w:p>
    <w:p>
      <w:r>
        <w:rPr>
          <w:b/>
        </w:rPr>
        <w:t xml:space="preserve">Acceptance  </w:t>
      </w:r>
      <w:r>
        <w:t>Stable button is found after DOM reorder when accessible identity remains unchanged.</w:t>
      </w:r>
    </w:p>
    <w:p>
      <w:pPr>
        <w:pStyle w:val="Heading3"/>
      </w:pPr>
      <w:r>
        <w:t>DOM-002  Ambiguity rejection</w:t>
      </w:r>
    </w:p>
    <w:p>
      <w:r>
        <w:rPr>
          <w:b/>
        </w:rPr>
        <w:t xml:space="preserve">Requirement  </w:t>
      </w:r>
      <w:r>
        <w:t>Require unique matches or explicit scoped disambiguation; never click first of multiple ambiguous matches silently.</w:t>
      </w:r>
    </w:p>
    <w:p>
      <w:r>
        <w:rPr>
          <w:b/>
        </w:rPr>
        <w:t xml:space="preserve">Acceptance  </w:t>
      </w:r>
      <w:r>
        <w:t>Two Submit controls without scope return TARGET_AMBIGUOUS.</w:t>
      </w:r>
    </w:p>
    <w:p>
      <w:pPr>
        <w:pStyle w:val="Heading3"/>
      </w:pPr>
      <w:r>
        <w:t>DOM-003  Frame targeting</w:t>
      </w:r>
    </w:p>
    <w:p>
      <w:r>
        <w:rPr>
          <w:b/>
        </w:rPr>
        <w:t xml:space="preserve">Requirement  </w:t>
      </w:r>
      <w:r>
        <w:t>Support explicit frame selectors, nested iframe chains and re-resolution after frame navigation.</w:t>
      </w:r>
    </w:p>
    <w:p>
      <w:r>
        <w:rPr>
          <w:b/>
        </w:rPr>
        <w:t xml:space="preserve">Acceptance  </w:t>
      </w:r>
      <w:r>
        <w:t>Payment fixture inside iframe is found with its declared frame route.</w:t>
      </w:r>
    </w:p>
    <w:p>
      <w:pPr>
        <w:pStyle w:val="Heading3"/>
      </w:pPr>
      <w:r>
        <w:t>DOM-004  Shadow DOM targeting</w:t>
      </w:r>
    </w:p>
    <w:p>
      <w:r>
        <w:rPr>
          <w:b/>
        </w:rPr>
        <w:t xml:space="preserve">Requirement  </w:t>
      </w:r>
      <w:r>
        <w:t>Support Playwright-reachable shadow-root elements with declared locators; report closed/unsupported roots.</w:t>
      </w:r>
    </w:p>
    <w:p>
      <w:r>
        <w:rPr>
          <w:b/>
        </w:rPr>
        <w:t xml:space="preserve">Acceptance  </w:t>
      </w:r>
      <w:r>
        <w:t>Open-shadow fixture works; inaccessible root fails explicitly.</w:t>
      </w:r>
    </w:p>
    <w:p>
      <w:pPr>
        <w:pStyle w:val="Heading3"/>
      </w:pPr>
      <w:r>
        <w:t>DOM-005  Navigation wait semantics</w:t>
      </w:r>
    </w:p>
    <w:p>
      <w:r>
        <w:rPr>
          <w:b/>
        </w:rPr>
        <w:t xml:space="preserve">Requirement  </w:t>
      </w:r>
      <w:r>
        <w:t>Wait on declared URL, DOM state or target locator, not only networkidle or fixed delay; apply cancellation-aware bounds.</w:t>
      </w:r>
    </w:p>
    <w:p>
      <w:r>
        <w:rPr>
          <w:b/>
        </w:rPr>
        <w:t xml:space="preserve">Acceptance  </w:t>
      </w:r>
      <w:r>
        <w:t>SPA page with ongoing telemetry still completes after expected element is ready.</w:t>
      </w:r>
    </w:p>
    <w:p>
      <w:pPr>
        <w:pStyle w:val="Heading3"/>
      </w:pPr>
      <w:r>
        <w:t>DOM-006  Dynamic/stale targets</w:t>
      </w:r>
    </w:p>
    <w:p>
      <w:r>
        <w:rPr>
          <w:b/>
        </w:rPr>
        <w:t xml:space="preserve">Requirement  </w:t>
      </w:r>
      <w:r>
        <w:t>Re-resolve after asynchronous component re-render; verify target remains in expected tab/frame at action time.</w:t>
      </w:r>
    </w:p>
    <w:p>
      <w:r>
        <w:rPr>
          <w:b/>
        </w:rPr>
        <w:t xml:space="preserve">Acceptance  </w:t>
      </w:r>
      <w:r>
        <w:t>SPA grid refresh does not cause wrong-row click.</w:t>
      </w:r>
    </w:p>
    <w:p>
      <w:pPr>
        <w:pStyle w:val="Heading3"/>
      </w:pPr>
      <w:r>
        <w:t>DOM-007  Visibility and hit testing</w:t>
      </w:r>
    </w:p>
    <w:p>
      <w:r>
        <w:rPr>
          <w:b/>
        </w:rPr>
        <w:t xml:space="preserve">Requirement  </w:t>
      </w:r>
      <w:r>
        <w:t>Verify visible, actionable, enabled and unobstructed where action requires; handle actionability timeouts distinctly.</w:t>
      </w:r>
    </w:p>
    <w:p>
      <w:r>
        <w:rPr>
          <w:b/>
        </w:rPr>
        <w:t xml:space="preserve">Acceptance  </w:t>
      </w:r>
      <w:r>
        <w:t>Disabled button or overlay returns actionable timeout without blind JavaScript click.</w:t>
      </w:r>
    </w:p>
    <w:p>
      <w:pPr>
        <w:pStyle w:val="Heading3"/>
      </w:pPr>
      <w:r>
        <w:t>DOM-008  Technical assertion vocabulary</w:t>
      </w:r>
    </w:p>
    <w:p>
      <w:r>
        <w:rPr>
          <w:b/>
        </w:rPr>
        <w:t xml:space="preserve">Requirement  </w:t>
      </w:r>
      <w:r>
        <w:t>Expose locator exists/visible/enabled/checked, URL equality and observed technical text equality per common condition restrictions.</w:t>
      </w:r>
    </w:p>
    <w:p>
      <w:r>
        <w:rPr>
          <w:b/>
        </w:rPr>
        <w:t xml:space="preserve">Acceptance  </w:t>
      </w:r>
      <w:r>
        <w:t>Condition parser rejects price &gt; 100 and arbitrary page evaluation expressions.</w:t>
      </w:r>
    </w:p>
    <w:p>
      <w:pPr>
        <w:pStyle w:val="Heading3"/>
      </w:pPr>
      <w:r>
        <w:t>DOM-009  Safe DOM inspection</w:t>
      </w:r>
    </w:p>
    <w:p>
      <w:r>
        <w:rPr>
          <w:b/>
        </w:rPr>
        <w:t xml:space="preserve">Requirement  </w:t>
      </w:r>
      <w:r>
        <w:t>Read authorized displayed text/attributes or form values as opaque data for API inputs without executing domain decisions.</w:t>
      </w:r>
    </w:p>
    <w:p>
      <w:r>
        <w:rPr>
          <w:b/>
        </w:rPr>
        <w:t xml:space="preserve">Acceptance  </w:t>
      </w:r>
      <w:r>
        <w:t>Field is extracted exactly and passed to API unchanged.</w:t>
      </w:r>
    </w:p>
    <w:p>
      <w:pPr>
        <w:pStyle w:val="Heading1"/>
      </w:pPr>
      <w:r>
        <w:t>6. User interactions and browser features</w:t>
      </w:r>
    </w:p>
    <w:p>
      <w:pPr>
        <w:pStyle w:val="Heading3"/>
      </w:pPr>
      <w:r>
        <w:t>WEB-001  Navigation and history</w:t>
      </w:r>
    </w:p>
    <w:p>
      <w:r>
        <w:rPr>
          <w:b/>
        </w:rPr>
        <w:t xml:space="preserve">Requirement  </w:t>
      </w:r>
      <w:r>
        <w:t>Navigate approved URL, reload, back/forward and assert current route; handle redirects with allowlists.</w:t>
      </w:r>
    </w:p>
    <w:p>
      <w:r>
        <w:rPr>
          <w:b/>
        </w:rPr>
        <w:t xml:space="preserve">Acceptance  </w:t>
      </w:r>
      <w:r>
        <w:t>Redirect chain logged without PII and final technical route verified.</w:t>
      </w:r>
    </w:p>
    <w:p>
      <w:pPr>
        <w:pStyle w:val="Heading3"/>
      </w:pPr>
      <w:r>
        <w:t>WEB-002  Typing and form filling</w:t>
      </w:r>
    </w:p>
    <w:p>
      <w:r>
        <w:rPr>
          <w:b/>
        </w:rPr>
        <w:t xml:space="preserve">Requirement  </w:t>
      </w:r>
      <w:r>
        <w:t>Fill text, textarea and contenteditable when supported; select options, check toggles, enter Unicode and verify values.</w:t>
      </w:r>
    </w:p>
    <w:p>
      <w:r>
        <w:rPr>
          <w:b/>
        </w:rPr>
        <w:t xml:space="preserve">Acceptance  </w:t>
      </w:r>
      <w:r>
        <w:t>Multilingual form submitted with exact field values and proper disabled-state checks.</w:t>
      </w:r>
    </w:p>
    <w:p>
      <w:pPr>
        <w:pStyle w:val="Heading3"/>
      </w:pPr>
      <w:r>
        <w:t>WEB-003  Pointer/keyboard actions</w:t>
      </w:r>
    </w:p>
    <w:p>
      <w:r>
        <w:rPr>
          <w:b/>
        </w:rPr>
        <w:t xml:space="preserve">Requirement  </w:t>
      </w:r>
      <w:r>
        <w:t>Click, double-click, hover, scroll, keyboard shortcut and drag within browser context using Playwright actions.</w:t>
      </w:r>
    </w:p>
    <w:p>
      <w:r>
        <w:rPr>
          <w:b/>
        </w:rPr>
        <w:t xml:space="preserve">Acceptance  </w:t>
      </w:r>
      <w:r>
        <w:t>Target receives exactly one intended event after dynamic layout shift.</w:t>
      </w:r>
    </w:p>
    <w:p>
      <w:pPr>
        <w:pStyle w:val="Heading3"/>
      </w:pPr>
      <w:r>
        <w:t>WEB-004  Tab and popup management</w:t>
      </w:r>
    </w:p>
    <w:p>
      <w:r>
        <w:rPr>
          <w:b/>
        </w:rPr>
        <w:t xml:space="preserve">Requirement  </w:t>
      </w:r>
      <w:r>
        <w:t>Detect and switch among explicitly expected tabs/windows/popups while preserving ownership.</w:t>
      </w:r>
    </w:p>
    <w:p>
      <w:r>
        <w:rPr>
          <w:b/>
        </w:rPr>
        <w:t xml:space="preserve">Acceptance  </w:t>
      </w:r>
      <w:r>
        <w:t>Sign-in popup created by action is linked to correct context; unexpected popup is diagnosed.</w:t>
      </w:r>
    </w:p>
    <w:p>
      <w:pPr>
        <w:pStyle w:val="Heading3"/>
      </w:pPr>
      <w:r>
        <w:t>WEB-005  Dialogs and permission prompts</w:t>
      </w:r>
    </w:p>
    <w:p>
      <w:r>
        <w:rPr>
          <w:b/>
        </w:rPr>
        <w:t xml:space="preserve">Requirement  </w:t>
      </w:r>
      <w:r>
        <w:t>Handle JavaScript alert/confirm/prompt with declared response and detect unhandled browser-native permission prompts.</w:t>
      </w:r>
    </w:p>
    <w:p>
      <w:r>
        <w:rPr>
          <w:b/>
        </w:rPr>
        <w:t xml:space="preserve">Acceptance  </w:t>
      </w:r>
      <w:r>
        <w:t>Unexpected confirm is not silently accepted.</w:t>
      </w:r>
    </w:p>
    <w:p>
      <w:pPr>
        <w:pStyle w:val="Heading3"/>
      </w:pPr>
      <w:r>
        <w:t>WEB-006  File uploads</w:t>
      </w:r>
    </w:p>
    <w:p>
      <w:r>
        <w:rPr>
          <w:b/>
        </w:rPr>
        <w:t xml:space="preserve">Requirement  </w:t>
      </w:r>
      <w:r>
        <w:t>Use approved file roots and Playwright input/file chooser with path/policy checks.</w:t>
      </w:r>
    </w:p>
    <w:p>
      <w:r>
        <w:rPr>
          <w:b/>
        </w:rPr>
        <w:t xml:space="preserve">Acceptance  </w:t>
      </w:r>
      <w:r>
        <w:t>Upload correct named file; forbidden path blocks.</w:t>
      </w:r>
    </w:p>
    <w:p>
      <w:pPr>
        <w:pStyle w:val="Heading3"/>
      </w:pPr>
      <w:r>
        <w:t>WEB-007  Downloads</w:t>
      </w:r>
    </w:p>
    <w:p>
      <w:r>
        <w:rPr>
          <w:b/>
        </w:rPr>
        <w:t xml:space="preserve">Requirement  </w:t>
      </w:r>
      <w:r>
        <w:t>Wait for download event, validate filename/content type/size and save to approved path.</w:t>
      </w:r>
    </w:p>
    <w:p>
      <w:r>
        <w:rPr>
          <w:b/>
        </w:rPr>
        <w:t xml:space="preserve">Acceptance  </w:t>
      </w:r>
      <w:r>
        <w:t>Download to Unicode path completes and event is correlated; rejected downloads produce error.</w:t>
      </w:r>
    </w:p>
    <w:p>
      <w:pPr>
        <w:pStyle w:val="Heading3"/>
      </w:pPr>
      <w:r>
        <w:t>WEB-008  Cookies/storage handling</w:t>
      </w:r>
    </w:p>
    <w:p>
      <w:r>
        <w:rPr>
          <w:b/>
        </w:rPr>
        <w:t xml:space="preserve">Requirement  </w:t>
      </w:r>
      <w:r>
        <w:t>Restore only approved signed/encrypted storageState references; isolate cookies from other runs.</w:t>
      </w:r>
    </w:p>
    <w:p>
      <w:r>
        <w:rPr>
          <w:b/>
        </w:rPr>
        <w:t xml:space="preserve">Acceptance  </w:t>
      </w:r>
      <w:r>
        <w:t>Fresh run does not inherit another user’s login cookie.</w:t>
      </w:r>
    </w:p>
    <w:p>
      <w:pPr>
        <w:pStyle w:val="Heading3"/>
      </w:pPr>
      <w:r>
        <w:t>WEB-009  Authentication workflows</w:t>
      </w:r>
    </w:p>
    <w:p>
      <w:r>
        <w:rPr>
          <w:b/>
        </w:rPr>
        <w:t xml:space="preserve">Requirement  </w:t>
      </w:r>
      <w:r>
        <w:t>Support normal enterprise sign-in flows and pre-provisioned sessions; detect MFA/CAPTCHA/conditional access requiring human intervention.</w:t>
      </w:r>
    </w:p>
    <w:p>
      <w:r>
        <w:t>Acceptance  MFA challenge yields a classified FAILED or authorized operator-attention outcome (needsAttention flag where applicable, never a new run state); no circumvention attempted.</w:t>
      </w:r>
    </w:p>
    <w:p>
      <w:pPr>
        <w:pStyle w:val="Heading3"/>
      </w:pPr>
      <w:r>
        <w:t>WEB-010  Web accessibility variance</w:t>
      </w:r>
    </w:p>
    <w:p>
      <w:r>
        <w:rPr>
          <w:b/>
        </w:rPr>
        <w:t xml:space="preserve">Requirement  </w:t>
      </w:r>
      <w:r>
        <w:t>Support semantic locators when website provides accessible names; offer bounded CSS/testID fallback where allowed.</w:t>
      </w:r>
    </w:p>
    <w:p>
      <w:r>
        <w:rPr>
          <w:b/>
        </w:rPr>
        <w:t xml:space="preserve">Acceptance  </w:t>
      </w:r>
      <w:r>
        <w:t>Site missing accessible labels can still use allowlisted testID; ambiguous unlabelled element is reported.</w:t>
      </w:r>
    </w:p>
    <w:p>
      <w:pPr>
        <w:pStyle w:val="Heading1"/>
      </w:pPr>
      <w:r>
        <w:t>7. Browser failure/recovery handling</w:t>
      </w:r>
    </w:p>
    <w:p>
      <w:pPr>
        <w:pStyle w:val="Heading3"/>
      </w:pPr>
      <w:r>
        <w:t>BRE-001  Timeouts and slow pages</w:t>
      </w:r>
    </w:p>
    <w:p>
      <w:r>
        <w:rPr>
          <w:b/>
        </w:rPr>
        <w:t xml:space="preserve">Requirement  </w:t>
      </w:r>
      <w:r>
        <w:t>Provide per-step bounded waits for locator actionability and navigation results.</w:t>
      </w:r>
    </w:p>
    <w:p>
      <w:r>
        <w:rPr>
          <w:b/>
        </w:rPr>
        <w:t xml:space="preserve">Acceptance  </w:t>
      </w:r>
      <w:r>
        <w:t>Slow-loading SPA waits for intended DOM readiness and times out cleanly.</w:t>
      </w:r>
    </w:p>
    <w:p>
      <w:pPr>
        <w:pStyle w:val="Heading3"/>
      </w:pPr>
      <w:r>
        <w:t>BRE-002  Unexpected navigation</w:t>
      </w:r>
    </w:p>
    <w:p>
      <w:r>
        <w:rPr>
          <w:b/>
        </w:rPr>
        <w:t xml:space="preserve">Requirement  </w:t>
      </w:r>
      <w:r>
        <w:t>Detect page closed, navigation to disallowed origin, tab replacement and unexpected dialogs.</w:t>
      </w:r>
    </w:p>
    <w:p>
      <w:r>
        <w:rPr>
          <w:b/>
        </w:rPr>
        <w:t xml:space="preserve">Acceptance  </w:t>
      </w:r>
      <w:r>
        <w:t>Site redirects to phishing-like domain and worker stops before credential entry.</w:t>
      </w:r>
    </w:p>
    <w:p>
      <w:pPr>
        <w:pStyle w:val="Heading3"/>
      </w:pPr>
      <w:r>
        <w:t>BRE-003  Network interruptions</w:t>
      </w:r>
    </w:p>
    <w:p>
      <w:r>
        <w:rPr>
          <w:b/>
        </w:rPr>
        <w:t xml:space="preserve">Requirement  </w:t>
      </w:r>
      <w:r>
        <w:t>Classify DNS/TLS/proxy/HTTP failures, browser offline state and failed resource loads without masking actual UI completion.</w:t>
      </w:r>
    </w:p>
    <w:p>
      <w:r>
        <w:rPr>
          <w:b/>
        </w:rPr>
        <w:t xml:space="preserve">Acceptance  </w:t>
      </w:r>
      <w:r>
        <w:t>Connection drop during submit is UNKNOWN if side effect cannot be proven, not automatic second submit.</w:t>
      </w:r>
    </w:p>
    <w:p>
      <w:pPr>
        <w:pStyle w:val="Heading3"/>
      </w:pPr>
      <w:r>
        <w:t>BRE-004  Browser crash</w:t>
      </w:r>
    </w:p>
    <w:p>
      <w:r>
        <w:rPr>
          <w:b/>
        </w:rPr>
        <w:t xml:space="preserve">Requirement  </w:t>
      </w:r>
      <w:r>
        <w:t>Record crash/closed context and safe diagnostics; restart only before irreversible action or with explicit safe policy.</w:t>
      </w:r>
    </w:p>
    <w:p>
      <w:r>
        <w:rPr>
          <w:b/>
        </w:rPr>
        <w:t xml:space="preserve">Acceptance  </w:t>
      </w:r>
      <w:r>
        <w:t>Browser closes mid-run; cleanup occurs and result is classified correctly.</w:t>
      </w:r>
    </w:p>
    <w:p>
      <w:pPr>
        <w:pStyle w:val="Heading3"/>
      </w:pPr>
      <w:r>
        <w:t>BRE-005  Stale DOM state</w:t>
      </w:r>
    </w:p>
    <w:p>
      <w:r>
        <w:rPr>
          <w:b/>
        </w:rPr>
        <w:t xml:space="preserve">Requirement  </w:t>
      </w:r>
      <w:r>
        <w:t>Retry safe locator acquisition after re-render; avoid duplicated non-idempotent clicks.</w:t>
      </w:r>
    </w:p>
    <w:p>
      <w:r>
        <w:rPr>
          <w:b/>
        </w:rPr>
        <w:t xml:space="preserve">Acceptance  </w:t>
      </w:r>
      <w:r>
        <w:t>Page re-renders after Save click; worker does not submit twice.</w:t>
      </w:r>
    </w:p>
    <w:p>
      <w:pPr>
        <w:pStyle w:val="Heading3"/>
      </w:pPr>
      <w:r>
        <w:t>BRE-006  Sensitive evidence handling</w:t>
      </w:r>
    </w:p>
    <w:p>
      <w:r>
        <w:rPr>
          <w:b/>
        </w:rPr>
        <w:t xml:space="preserve">Requirement  </w:t>
      </w:r>
      <w:r>
        <w:t>Redact storageState, authorization headers, password fields, session cookies and secret-containing screenshots/trace bodies.</w:t>
      </w:r>
    </w:p>
    <w:p>
      <w:r>
        <w:rPr>
          <w:b/>
        </w:rPr>
        <w:t xml:space="preserve">Acceptance  </w:t>
      </w:r>
      <w:r>
        <w:t>No signed diagnostic artifact contains live session tokens.</w:t>
      </w:r>
    </w:p>
    <w:p>
      <w:pPr>
        <w:pStyle w:val="Heading3"/>
      </w:pPr>
      <w:r>
        <w:t>BRE-007  service outcome handling</w:t>
      </w:r>
    </w:p>
    <w:p>
      <w:r>
        <w:rPr>
          <w:b/>
        </w:rPr>
        <w:t xml:space="preserve">Requirement  </w:t>
      </w:r>
      <w:r>
        <w:t>Follow only API category/actionCode allowlist to approved UI actions; no page-derived domain comparisons.</w:t>
      </w:r>
    </w:p>
    <w:p>
      <w:r>
        <w:rPr>
          <w:b/>
        </w:rPr>
        <w:t xml:space="preserve">Acceptance  </w:t>
      </w:r>
      <w:r>
        <w:t>Service rejection is displayed exactly; run technically succeeds when UI postcondition passes.</w:t>
      </w:r>
    </w:p>
    <w:p>
      <w:pPr>
        <w:pStyle w:val="Heading3"/>
      </w:pPr>
      <w:r>
        <w:t>BRE-008  Cancel and resource release</w:t>
      </w:r>
    </w:p>
    <w:p>
      <w:r>
        <w:rPr>
          <w:b/>
        </w:rPr>
        <w:t xml:space="preserve">Requirement  </w:t>
      </w:r>
      <w:r>
        <w:t>Cancel navigations, downloads and contexts within bounded time and release worker lease and profile locks.</w:t>
      </w:r>
    </w:p>
    <w:p>
      <w:r>
        <w:rPr>
          <w:b/>
        </w:rPr>
        <w:t xml:space="preserve">Acceptance  </w:t>
      </w:r>
      <w:r>
        <w:t>Cancel during download leaves no exposed partial credentials or orphan context.</w:t>
      </w:r>
    </w:p>
    <w:p>
      <w:pPr>
        <w:pStyle w:val="Heading1"/>
      </w:pPr>
      <w:r>
        <w:t>8. Reference site matrix</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Site fixture</w:t>
            </w:r>
          </w:p>
        </w:tc>
        <w:tc>
          <w:tcPr>
            <w:tcW w:type="dxa" w:w="3283"/>
            <w:shd w:fill="EAF3F6"/>
          </w:tcPr>
          <w:p>
            <w:r>
              <w:t>Required coverage</w:t>
            </w:r>
          </w:p>
        </w:tc>
        <w:tc>
          <w:tcPr>
            <w:tcW w:type="dxa" w:w="3283"/>
            <w:shd w:fill="EAF3F6"/>
          </w:tcPr>
          <w:p>
            <w:r>
              <w:t>Known non-goals</w:t>
            </w:r>
          </w:p>
        </w:tc>
      </w:tr>
      <w:tr>
        <w:tc>
          <w:tcPr>
            <w:tcW w:type="dxa" w:w="3283"/>
            <w:vAlign w:val="center"/>
          </w:tcPr>
          <w:p>
            <w:r>
              <w:rPr>
                <w:b/>
              </w:rPr>
              <w:t>Static HTML form test app</w:t>
            </w:r>
          </w:p>
        </w:tc>
        <w:tc>
          <w:tcPr>
            <w:tcW w:type="dxa" w:w="3283"/>
            <w:vAlign w:val="center"/>
          </w:tcPr>
          <w:p>
            <w:r>
              <w:t>Labels/roles, basic navigation, dialogs, file upload</w:t>
            </w:r>
          </w:p>
        </w:tc>
        <w:tc>
          <w:tcPr>
            <w:tcW w:type="dxa" w:w="3283"/>
            <w:vAlign w:val="center"/>
          </w:tcPr>
          <w:p>
            <w:r>
              <w:t>No complex JS required</w:t>
            </w:r>
          </w:p>
        </w:tc>
      </w:tr>
      <w:tr>
        <w:tc>
          <w:tcPr>
            <w:tcW w:type="dxa" w:w="3283"/>
            <w:vAlign w:val="center"/>
          </w:tcPr>
          <w:p>
            <w:r>
              <w:rPr>
                <w:b/>
              </w:rPr>
              <w:t>SPA with client-side router</w:t>
            </w:r>
          </w:p>
        </w:tc>
        <w:tc>
          <w:tcPr>
            <w:tcW w:type="dxa" w:w="3283"/>
            <w:vAlign w:val="center"/>
          </w:tcPr>
          <w:p>
            <w:r>
              <w:t>Reactive rerender, async loading, state assertion</w:t>
            </w:r>
          </w:p>
        </w:tc>
        <w:tc>
          <w:tcPr>
            <w:tcW w:type="dxa" w:w="3283"/>
            <w:vAlign w:val="center"/>
          </w:tcPr>
          <w:p>
            <w:r>
              <w:t>No business rule JS execution</w:t>
            </w:r>
          </w:p>
        </w:tc>
      </w:tr>
      <w:tr>
        <w:tc>
          <w:tcPr>
            <w:tcW w:type="dxa" w:w="3283"/>
            <w:vAlign w:val="center"/>
          </w:tcPr>
          <w:p>
            <w:r>
              <w:rPr>
                <w:b/>
              </w:rPr>
              <w:t>Nested iframe test site</w:t>
            </w:r>
          </w:p>
        </w:tc>
        <w:tc>
          <w:tcPr>
            <w:tcW w:type="dxa" w:w="3283"/>
            <w:vAlign w:val="center"/>
          </w:tcPr>
          <w:p>
            <w:r>
              <w:t>Frame ownership, locator scoping, cross-origin handling</w:t>
            </w:r>
          </w:p>
        </w:tc>
        <w:tc>
          <w:tcPr>
            <w:tcW w:type="dxa" w:w="3283"/>
            <w:vAlign w:val="center"/>
          </w:tcPr>
          <w:p>
            <w:r>
              <w:t>No bypass of cross-origin policy</w:t>
            </w:r>
          </w:p>
        </w:tc>
      </w:tr>
      <w:tr>
        <w:tc>
          <w:tcPr>
            <w:tcW w:type="dxa" w:w="3283"/>
            <w:vAlign w:val="center"/>
          </w:tcPr>
          <w:p>
            <w:r>
              <w:rPr>
                <w:b/>
              </w:rPr>
              <w:t>Accessible web grid</w:t>
            </w:r>
          </w:p>
        </w:tc>
        <w:tc>
          <w:tcPr>
            <w:tcW w:type="dxa" w:w="3283"/>
            <w:vAlign w:val="center"/>
          </w:tcPr>
          <w:p>
            <w:r>
              <w:t>Dynamic sorting/filtering, virtual rows, loading skeletons</w:t>
            </w:r>
          </w:p>
        </w:tc>
        <w:tc>
          <w:tcPr>
            <w:tcW w:type="dxa" w:w="3283"/>
            <w:vAlign w:val="center"/>
          </w:tcPr>
          <w:p>
            <w:r>
              <w:t>No unsupported canvas OCR fallback</w:t>
            </w:r>
          </w:p>
        </w:tc>
      </w:tr>
      <w:tr>
        <w:tc>
          <w:tcPr>
            <w:tcW w:type="dxa" w:w="3283"/>
            <w:vAlign w:val="center"/>
          </w:tcPr>
          <w:p>
            <w:r>
              <w:rPr>
                <w:b/>
              </w:rPr>
              <w:t>SSO/MFA sandbox</w:t>
            </w:r>
          </w:p>
        </w:tc>
        <w:tc>
          <w:tcPr>
            <w:tcW w:type="dxa" w:w="3283"/>
            <w:vAlign w:val="center"/>
          </w:tcPr>
          <w:p>
            <w:r>
              <w:t>Login redirects, session isolation, explicit human challenge</w:t>
            </w:r>
          </w:p>
        </w:tc>
        <w:tc>
          <w:tcPr>
            <w:tcW w:type="dxa" w:w="3283"/>
            <w:vAlign w:val="center"/>
          </w:tcPr>
          <w:p>
            <w:r>
              <w:t>No MFA/CAPTCHA circumvention</w:t>
            </w:r>
          </w:p>
        </w:tc>
      </w:tr>
      <w:tr>
        <w:tc>
          <w:tcPr>
            <w:tcW w:type="dxa" w:w="3283"/>
            <w:vAlign w:val="center"/>
          </w:tcPr>
          <w:p>
            <w:r>
              <w:rPr>
                <w:b/>
              </w:rPr>
              <w:t>Download/upload fixture</w:t>
            </w:r>
          </w:p>
        </w:tc>
        <w:tc>
          <w:tcPr>
            <w:tcW w:type="dxa" w:w="3283"/>
            <w:vAlign w:val="center"/>
          </w:tcPr>
          <w:p>
            <w:r>
              <w:t>Unicode filenames, file chooser and approved path security</w:t>
            </w:r>
          </w:p>
        </w:tc>
        <w:tc>
          <w:tcPr>
            <w:tcW w:type="dxa" w:w="3283"/>
            <w:vAlign w:val="center"/>
          </w:tcPr>
          <w:p>
            <w:r>
              <w:t>No unrestricted filesystem access</w:t>
            </w:r>
          </w:p>
        </w:tc>
      </w:tr>
      <w:tr>
        <w:tc>
          <w:tcPr>
            <w:tcW w:type="dxa" w:w="3283"/>
            <w:vAlign w:val="center"/>
          </w:tcPr>
          <w:p>
            <w:r>
              <w:rPr>
                <w:b/>
              </w:rPr>
              <w:t>Intentional failure fixture</w:t>
            </w:r>
          </w:p>
        </w:tc>
        <w:tc>
          <w:tcPr>
            <w:tcW w:type="dxa" w:w="3283"/>
            <w:vAlign w:val="center"/>
          </w:tcPr>
          <w:p>
            <w:r>
              <w:t>Ambiguous selectors, stuck overlays, crashes, disallowed redirect</w:t>
            </w:r>
          </w:p>
        </w:tc>
        <w:tc>
          <w:tcPr>
            <w:tcW w:type="dxa" w:w="3283"/>
            <w:vAlign w:val="center"/>
          </w:tcPr>
          <w:p>
            <w:r>
              <w:t>Clean classified failure required</w:t>
            </w:r>
          </w:p>
        </w:tc>
      </w:tr>
    </w:tbl>
    <w:p/>
    <w:p>
      <w:pPr>
        <w:pStyle w:val="Heading1"/>
      </w:pPr>
      <w:r>
        <w:t>Acceptance scenario catalogue</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Test ID</w:t>
            </w:r>
          </w:p>
        </w:tc>
        <w:tc>
          <w:tcPr>
            <w:tcW w:type="dxa" w:w="3283"/>
            <w:shd w:fill="EAF3F6"/>
          </w:tcPr>
          <w:p>
            <w:r>
              <w:t>Scenario</w:t>
            </w:r>
          </w:p>
        </w:tc>
        <w:tc>
          <w:tcPr>
            <w:tcW w:type="dxa" w:w="3283"/>
            <w:shd w:fill="EAF3F6"/>
          </w:tcPr>
          <w:p>
            <w:r>
              <w:t>Observable pass criterion</w:t>
            </w:r>
          </w:p>
        </w:tc>
      </w:tr>
      <w:tr>
        <w:tc>
          <w:tcPr>
            <w:tcW w:type="dxa" w:w="3283"/>
            <w:vAlign w:val="center"/>
          </w:tcPr>
          <w:p>
            <w:r>
              <w:rPr>
                <w:b/>
              </w:rPr>
              <w:t>BRW-AT-01</w:t>
            </w:r>
          </w:p>
        </w:tc>
        <w:tc>
          <w:tcPr>
            <w:tcW w:type="dxa" w:w="3283"/>
            <w:vAlign w:val="center"/>
          </w:tcPr>
          <w:p>
            <w:r>
              <w:t>Static form</w:t>
            </w:r>
          </w:p>
        </w:tc>
        <w:tc>
          <w:tcPr>
            <w:tcW w:type="dxa" w:w="3283"/>
            <w:vAlign w:val="center"/>
          </w:tcPr>
          <w:p>
            <w:r>
              <w:t>Semantic selectors fill, submit, verify displayed confirmation.</w:t>
            </w:r>
          </w:p>
        </w:tc>
      </w:tr>
      <w:tr>
        <w:tc>
          <w:tcPr>
            <w:tcW w:type="dxa" w:w="3283"/>
            <w:vAlign w:val="center"/>
          </w:tcPr>
          <w:p>
            <w:r>
              <w:rPr>
                <w:b/>
              </w:rPr>
              <w:t>BRW-AT-02</w:t>
            </w:r>
          </w:p>
        </w:tc>
        <w:tc>
          <w:tcPr>
            <w:tcW w:type="dxa" w:w="3283"/>
            <w:vAlign w:val="center"/>
          </w:tcPr>
          <w:p>
            <w:r>
              <w:t>SPA refresh</w:t>
            </w:r>
          </w:p>
        </w:tc>
        <w:tc>
          <w:tcPr>
            <w:tcW w:type="dxa" w:w="3283"/>
            <w:vAlign w:val="center"/>
          </w:tcPr>
          <w:p>
            <w:r>
              <w:t>Locator resolves after re-render and submits only once.</w:t>
            </w:r>
          </w:p>
        </w:tc>
      </w:tr>
      <w:tr>
        <w:tc>
          <w:tcPr>
            <w:tcW w:type="dxa" w:w="3283"/>
            <w:vAlign w:val="center"/>
          </w:tcPr>
          <w:p>
            <w:r>
              <w:rPr>
                <w:b/>
              </w:rPr>
              <w:t>BRW-AT-03</w:t>
            </w:r>
          </w:p>
        </w:tc>
        <w:tc>
          <w:tcPr>
            <w:tcW w:type="dxa" w:w="3283"/>
            <w:vAlign w:val="center"/>
          </w:tcPr>
          <w:p>
            <w:r>
              <w:t>Frame input</w:t>
            </w:r>
          </w:p>
        </w:tc>
        <w:tc>
          <w:tcPr>
            <w:tcW w:type="dxa" w:w="3283"/>
            <w:vAlign w:val="center"/>
          </w:tcPr>
          <w:p>
            <w:r>
              <w:t>Nested iframe target reached via stable frame chain.</w:t>
            </w:r>
          </w:p>
        </w:tc>
      </w:tr>
      <w:tr>
        <w:tc>
          <w:tcPr>
            <w:tcW w:type="dxa" w:w="3283"/>
            <w:vAlign w:val="center"/>
          </w:tcPr>
          <w:p>
            <w:r>
              <w:rPr>
                <w:b/>
              </w:rPr>
              <w:t>BRW-AT-04</w:t>
            </w:r>
          </w:p>
        </w:tc>
        <w:tc>
          <w:tcPr>
            <w:tcW w:type="dxa" w:w="3283"/>
            <w:vAlign w:val="center"/>
          </w:tcPr>
          <w:p>
            <w:r>
              <w:t>Shadow component</w:t>
            </w:r>
          </w:p>
        </w:tc>
        <w:tc>
          <w:tcPr>
            <w:tcW w:type="dxa" w:w="3283"/>
            <w:vAlign w:val="center"/>
          </w:tcPr>
          <w:p>
            <w:r>
              <w:t>Open shadow-root target works or declared unsupported.</w:t>
            </w:r>
          </w:p>
        </w:tc>
      </w:tr>
      <w:tr>
        <w:tc>
          <w:tcPr>
            <w:tcW w:type="dxa" w:w="3283"/>
            <w:vAlign w:val="center"/>
          </w:tcPr>
          <w:p>
            <w:r>
              <w:rPr>
                <w:b/>
              </w:rPr>
              <w:t>BRW-AT-05</w:t>
            </w:r>
          </w:p>
        </w:tc>
        <w:tc>
          <w:tcPr>
            <w:tcW w:type="dxa" w:w="3283"/>
            <w:vAlign w:val="center"/>
          </w:tcPr>
          <w:p>
            <w:r>
              <w:t>New popup/tab</w:t>
            </w:r>
          </w:p>
        </w:tc>
        <w:tc>
          <w:tcPr>
            <w:tcW w:type="dxa" w:w="3283"/>
            <w:vAlign w:val="center"/>
          </w:tcPr>
          <w:p>
            <w:r>
              <w:t>Expected popup managed; unplanned popup stops.</w:t>
            </w:r>
          </w:p>
        </w:tc>
      </w:tr>
      <w:tr>
        <w:tc>
          <w:tcPr>
            <w:tcW w:type="dxa" w:w="3283"/>
            <w:vAlign w:val="center"/>
          </w:tcPr>
          <w:p>
            <w:r>
              <w:rPr>
                <w:b/>
              </w:rPr>
              <w:t>BRW-AT-06</w:t>
            </w:r>
          </w:p>
        </w:tc>
        <w:tc>
          <w:tcPr>
            <w:tcW w:type="dxa" w:w="3283"/>
            <w:vAlign w:val="center"/>
          </w:tcPr>
          <w:p>
            <w:r>
              <w:t>Download</w:t>
            </w:r>
          </w:p>
        </w:tc>
        <w:tc>
          <w:tcPr>
            <w:tcW w:type="dxa" w:w="3283"/>
            <w:vAlign w:val="center"/>
          </w:tcPr>
          <w:p>
            <w:r>
              <w:t>Sanitized file downloaded to approved destination with verified metadata.</w:t>
            </w:r>
          </w:p>
        </w:tc>
      </w:tr>
      <w:tr>
        <w:tc>
          <w:tcPr>
            <w:tcW w:type="dxa" w:w="3283"/>
            <w:vAlign w:val="center"/>
          </w:tcPr>
          <w:p>
            <w:r>
              <w:rPr>
                <w:b/>
              </w:rPr>
              <w:t>BRW-AT-07</w:t>
            </w:r>
          </w:p>
        </w:tc>
        <w:tc>
          <w:tcPr>
            <w:tcW w:type="dxa" w:w="3283"/>
            <w:vAlign w:val="center"/>
          </w:tcPr>
          <w:p>
            <w:r>
              <w:t>Upload restricted</w:t>
            </w:r>
          </w:p>
        </w:tc>
        <w:tc>
          <w:tcPr>
            <w:tcW w:type="dxa" w:w="3283"/>
            <w:vAlign w:val="center"/>
          </w:tcPr>
          <w:p>
            <w:r>
              <w:t>Disallowed path is rejected before file transfer.</w:t>
            </w:r>
          </w:p>
        </w:tc>
      </w:tr>
      <w:tr>
        <w:tc>
          <w:tcPr>
            <w:tcW w:type="dxa" w:w="3283"/>
            <w:vAlign w:val="center"/>
          </w:tcPr>
          <w:p>
            <w:r>
              <w:rPr>
                <w:b/>
              </w:rPr>
              <w:t>BRW-AT-08</w:t>
            </w:r>
          </w:p>
        </w:tc>
        <w:tc>
          <w:tcPr>
            <w:tcW w:type="dxa" w:w="3283"/>
            <w:vAlign w:val="center"/>
          </w:tcPr>
          <w:p>
            <w:r>
              <w:t>Redirect policy</w:t>
            </w:r>
          </w:p>
        </w:tc>
        <w:tc>
          <w:tcPr>
            <w:tcW w:type="dxa" w:w="3283"/>
            <w:vAlign w:val="center"/>
          </w:tcPr>
          <w:p>
            <w:r>
              <w:t>Unapproved origin blocked; no secret submitted.</w:t>
            </w:r>
          </w:p>
        </w:tc>
      </w:tr>
      <w:tr>
        <w:tc>
          <w:tcPr>
            <w:tcW w:type="dxa" w:w="3283"/>
            <w:vAlign w:val="center"/>
          </w:tcPr>
          <w:p>
            <w:r>
              <w:rPr>
                <w:b/>
              </w:rPr>
              <w:t>BRW-AT-09</w:t>
            </w:r>
          </w:p>
        </w:tc>
        <w:tc>
          <w:tcPr>
            <w:tcW w:type="dxa" w:w="3283"/>
            <w:vAlign w:val="center"/>
          </w:tcPr>
          <w:p>
            <w:r>
              <w:t>MFA boundary</w:t>
            </w:r>
          </w:p>
        </w:tc>
        <w:tc>
          <w:tcPr>
            <w:tcW w:type="dxa" w:w="3283"/>
            <w:vAlign w:val="center"/>
          </w:tcPr>
          <w:p>
            <w:r>
              <w:t>Challenge causes human-attention path without bypass.</w:t>
            </w:r>
          </w:p>
        </w:tc>
      </w:tr>
      <w:tr>
        <w:tc>
          <w:tcPr>
            <w:tcW w:type="dxa" w:w="3283"/>
            <w:vAlign w:val="center"/>
          </w:tcPr>
          <w:p>
            <w:r>
              <w:rPr>
                <w:b/>
              </w:rPr>
              <w:t>BRW-AT-10</w:t>
            </w:r>
          </w:p>
        </w:tc>
        <w:tc>
          <w:tcPr>
            <w:tcW w:type="dxa" w:w="3283"/>
            <w:vAlign w:val="center"/>
          </w:tcPr>
          <w:p>
            <w:r>
              <w:t>Headless and headed</w:t>
            </w:r>
          </w:p>
        </w:tc>
        <w:tc>
          <w:tcPr>
            <w:tcW w:type="dxa" w:w="3283"/>
            <w:vAlign w:val="center"/>
          </w:tcPr>
          <w:p>
            <w:r>
              <w:t>Headless requires no desktop session; headed uses authorized exclusive interactive session.</w:t>
            </w:r>
          </w:p>
        </w:tc>
      </w:tr>
      <w:tr>
        <w:tc>
          <w:tcPr>
            <w:tcW w:type="dxa" w:w="3283"/>
            <w:vAlign w:val="center"/>
          </w:tcPr>
          <w:p>
            <w:r>
              <w:rPr>
                <w:b/>
              </w:rPr>
              <w:t>BRW-AT-11</w:t>
            </w:r>
          </w:p>
        </w:tc>
        <w:tc>
          <w:tcPr>
            <w:tcW w:type="dxa" w:w="3283"/>
            <w:vAlign w:val="center"/>
          </w:tcPr>
          <w:p>
            <w:r>
              <w:t>Sync service decision</w:t>
            </w:r>
          </w:p>
        </w:tc>
        <w:tc>
          <w:tcPr>
            <w:tcW w:type="dxa" w:w="3283"/>
            <w:vAlign w:val="center"/>
          </w:tcPr>
          <w:p>
            <w:r>
              <w:t>Rejected domain response shown as status; run SUCCEEDED with businessOutcome REJECTED.</w:t>
            </w:r>
          </w:p>
        </w:tc>
      </w:tr>
      <w:tr>
        <w:tc>
          <w:tcPr>
            <w:tcW w:type="dxa" w:w="3283"/>
            <w:vAlign w:val="center"/>
          </w:tcPr>
          <w:p>
            <w:r>
              <w:rPr>
                <w:b/>
              </w:rPr>
              <w:t>BRW-AT-12</w:t>
            </w:r>
          </w:p>
        </w:tc>
        <w:tc>
          <w:tcPr>
            <w:tcW w:type="dxa" w:w="3283"/>
            <w:vAlign w:val="center"/>
          </w:tcPr>
          <w:p>
            <w:r>
              <w:t>Orchestrator failure</w:t>
            </w:r>
          </w:p>
        </w:tc>
        <w:tc>
          <w:tcPr>
            <w:tcW w:type="dxa" w:w="3283"/>
            <w:vAlign w:val="center"/>
          </w:tcPr>
          <w:p>
            <w:r>
              <w:t>Attempt reconciliation avoids second submission.</w:t>
            </w:r>
          </w:p>
        </w:tc>
      </w:tr>
      <w:tr>
        <w:tc>
          <w:tcPr>
            <w:tcW w:type="dxa" w:w="3283"/>
            <w:vAlign w:val="center"/>
          </w:tcPr>
          <w:p>
            <w:r>
              <w:rPr>
                <w:b/>
              </w:rPr>
              <w:t>BRW-AT-13</w:t>
            </w:r>
          </w:p>
        </w:tc>
        <w:tc>
          <w:tcPr>
            <w:tcW w:type="dxa" w:w="3283"/>
            <w:vAlign w:val="center"/>
          </w:tcPr>
          <w:p>
            <w:r>
              <w:t>Worker isolation</w:t>
            </w:r>
          </w:p>
        </w:tc>
        <w:tc>
          <w:tcPr>
            <w:tcW w:type="dxa" w:w="3283"/>
            <w:vAlign w:val="center"/>
          </w:tcPr>
          <w:p>
            <w:r>
              <w:t>Separate workers do not leak cookies or browser storage.</w:t>
            </w:r>
          </w:p>
        </w:tc>
      </w:tr>
      <w:tr>
        <w:tc>
          <w:tcPr>
            <w:tcW w:type="dxa" w:w="3283"/>
            <w:vAlign w:val="center"/>
          </w:tcPr>
          <w:p>
            <w:r>
              <w:rPr>
                <w:b/>
              </w:rPr>
              <w:t>BRW-AT-14</w:t>
            </w:r>
          </w:p>
        </w:tc>
        <w:tc>
          <w:tcPr>
            <w:tcW w:type="dxa" w:w="3283"/>
            <w:vAlign w:val="center"/>
          </w:tcPr>
          <w:p>
            <w:r>
              <w:t>Business condition rejection</w:t>
            </w:r>
          </w:p>
        </w:tc>
        <w:tc>
          <w:tcPr>
            <w:tcW w:type="dxa" w:w="3283"/>
            <w:vAlign w:val="center"/>
          </w:tcPr>
          <w:p>
            <w:r>
              <w:t>Numeric price threshold predicate fails script validation.</w:t>
            </w:r>
          </w:p>
        </w:tc>
      </w:tr>
      <w:tr>
        <w:tc>
          <w:tcPr>
            <w:tcW w:type="dxa" w:w="3283"/>
            <w:vAlign w:val="center"/>
          </w:tcPr>
          <w:p>
            <w:r>
              <w:rPr>
                <w:b/>
              </w:rPr>
              <w:t>BRW-AT-15</w:t>
            </w:r>
          </w:p>
        </w:tc>
        <w:tc>
          <w:tcPr>
            <w:tcW w:type="dxa" w:w="3283"/>
            <w:vAlign w:val="center"/>
          </w:tcPr>
          <w:p>
            <w:r>
              <w:t>Cancel during download</w:t>
            </w:r>
          </w:p>
        </w:tc>
        <w:tc>
          <w:tcPr>
            <w:tcW w:type="dxa" w:w="3283"/>
            <w:vAlign w:val="center"/>
          </w:tcPr>
          <w:p>
            <w:r>
              <w:t>Partial file cleaned according to policy; worker capacity released.</w:t>
            </w:r>
          </w:p>
        </w:tc>
      </w:tr>
    </w:tbl>
    <w:p/>
    <w:p>
      <w:pPr>
        <w:pStyle w:val="Heading1"/>
      </w:pPr>
      <w:r>
        <w:t>Negative tests and unsupported-scope behavior</w:t>
      </w:r>
    </w:p>
    <w:p>
      <w:pPr>
        <w:pStyle w:val="ListBullet"/>
      </w:pPr>
      <w:r>
        <w:t>No runtime LLM/browser-agent decision loops or arbitrary site-injected business scripts.</w:t>
      </w:r>
    </w:p>
    <w:p>
      <w:pPr>
        <w:pStyle w:val="ListBullet"/>
      </w:pPr>
      <w:r>
        <w:t>No CAPTCHA, MFA, anti-bot or browser security bypass.</w:t>
      </w:r>
    </w:p>
    <w:p>
      <w:pPr>
        <w:pStyle w:val="ListBullet"/>
      </w:pPr>
      <w:r>
        <w:t>No image/OCR matching or pixel-only remote-desktop browser automation.</w:t>
      </w:r>
    </w:p>
    <w:p>
      <w:pPr>
        <w:pStyle w:val="ListBullet"/>
      </w:pPr>
      <w:r>
        <w:t>No mixed-engine script with Desktop or Terminal steps.</w:t>
      </w:r>
    </w:p>
    <w:p>
      <w:pPr>
        <w:pStyle w:val="ListBullet"/>
      </w:pPr>
      <w:r>
        <w:t>No guarantee that third-party browser extensions, DRM content or closed custom canvas provide stable DOM selectors.</w:t>
      </w:r>
    </w:p>
    <w:p>
      <w:pPr>
        <w:pStyle w:val="Heading1"/>
      </w:pPr>
      <w:r>
        <w:t>Reference environments and certification</w:t>
      </w:r>
    </w:p>
    <w:p>
      <w:r>
        <w:t>Define a pinned Playwright for .NET version and test browser binaries. Certify at least one static form, SPA, nested iframe, dynamic table, sign-in sandbox and file-transfer fixture. Test both headless and headed where advertised. A small Playwright recorder/replay compatibility check can be run independently of Desktop, with no full Designer dependency.</w:t>
      </w:r>
    </w:p>
    <w:p>
      <w:r>
        <w:t>Each requirement and scenario is subject to a runtime-specific support matrix: OS/build, engine/runtime version, application/site/shell version, session class, script schema major, policy profile, result and evidence reference. Tests that pass only under special prerequisites are marked conditional rather than universally supported.</w:t>
      </w:r>
    </w:p>
    <w:p>
      <w:pPr>
        <w:pStyle w:val="Heading1"/>
      </w:pPr>
      <w:r>
        <w:t>9. Browser v1 contract alignment and action details</w:t>
      </w:r>
    </w:p>
    <w:p>
      <w:r>
        <w:t>Browser v1 uses the common CEC v1.0.1 envelope and the shared service.invoke action. A Browser script may navigate approved websites (including their normal HTTP traffic) but cannot use direct HTTP, fetch, Playwright APIRequest, custom page-evaluation scripts, or other APIs as an alternate third-party business integration channel.</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t>Browser action</w:t>
            </w:r>
          </w:p>
        </w:tc>
        <w:tc>
          <w:tcPr>
            <w:tcW w:type="dxa" w:w="3283"/>
            <w:vAlign w:val="center"/>
          </w:tcPr>
          <w:p>
            <w:pPr>
              <w:spacing w:after="40"/>
            </w:pPr>
            <w:r>
              <w:t>Inputs / outputs</w:t>
            </w:r>
          </w:p>
        </w:tc>
        <w:tc>
          <w:tcPr>
            <w:tcW w:type="dxa" w:w="3283"/>
            <w:vAlign w:val="center"/>
          </w:tcPr>
          <w:p>
            <w:pPr>
              <w:spacing w:after="40"/>
            </w:pPr>
            <w:r>
              <w:t>Expected verification</w:t>
            </w:r>
          </w:p>
        </w:tc>
      </w:tr>
      <w:tr>
        <w:tc>
          <w:tcPr>
            <w:tcW w:type="dxa" w:w="3283"/>
            <w:vAlign w:val="center"/>
          </w:tcPr>
          <w:p>
            <w:pPr>
              <w:spacing w:after="40"/>
            </w:pPr>
            <w:r>
              <w:t>browser.context.open</w:t>
            </w:r>
          </w:p>
        </w:tc>
        <w:tc>
          <w:tcPr>
            <w:tcW w:type="dxa" w:w="3283"/>
            <w:vAlign w:val="center"/>
          </w:tcPr>
          <w:p>
            <w:pPr>
              <w:spacing w:after="40"/>
            </w:pPr>
            <w:r>
              <w:t>profileRef?, headless flag → contextRef</w:t>
            </w:r>
          </w:p>
        </w:tc>
        <w:tc>
          <w:tcPr>
            <w:tcW w:type="dxa" w:w="3283"/>
            <w:vAlign w:val="center"/>
          </w:tcPr>
          <w:p>
            <w:pPr>
              <w:spacing w:after="40"/>
            </w:pPr>
            <w:r>
              <w:t>Policy-approved isolated browser context created.</w:t>
            </w:r>
          </w:p>
        </w:tc>
      </w:tr>
      <w:tr>
        <w:tc>
          <w:tcPr>
            <w:tcW w:type="dxa" w:w="3283"/>
            <w:vAlign w:val="center"/>
          </w:tcPr>
          <w:p>
            <w:pPr>
              <w:spacing w:after="40"/>
            </w:pPr>
            <w:r>
              <w:t>browser.page.navigate</w:t>
            </w:r>
          </w:p>
        </w:tc>
        <w:tc>
          <w:tcPr>
            <w:tcW w:type="dxa" w:w="3283"/>
            <w:vAlign w:val="center"/>
          </w:tcPr>
          <w:p>
            <w:pPr>
              <w:spacing w:after="40"/>
            </w:pPr>
            <w:r>
              <w:t>pageRef, approvedUrlRef → finalUrl</w:t>
            </w:r>
          </w:p>
        </w:tc>
        <w:tc>
          <w:tcPr>
            <w:tcW w:type="dxa" w:w="3283"/>
            <w:vAlign w:val="center"/>
          </w:tcPr>
          <w:p>
            <w:pPr>
              <w:spacing w:after="40"/>
            </w:pPr>
            <w:r>
              <w:t>Expected URL and technical load condition.</w:t>
            </w:r>
          </w:p>
        </w:tc>
      </w:tr>
      <w:tr>
        <w:tc>
          <w:tcPr>
            <w:tcW w:type="dxa" w:w="3283"/>
            <w:vAlign w:val="center"/>
          </w:tcPr>
          <w:p>
            <w:pPr>
              <w:spacing w:after="40"/>
            </w:pPr>
            <w:r>
              <w:t>browser.element.find</w:t>
            </w:r>
          </w:p>
        </w:tc>
        <w:tc>
          <w:tcPr>
            <w:tcW w:type="dxa" w:w="3283"/>
            <w:vAlign w:val="center"/>
          </w:tcPr>
          <w:p>
            <w:pPr>
              <w:spacing w:after="40"/>
            </w:pPr>
            <w:r>
              <w:t>selectorRef → locatorRef</w:t>
            </w:r>
          </w:p>
        </w:tc>
        <w:tc>
          <w:tcPr>
            <w:tcW w:type="dxa" w:w="3283"/>
            <w:vAlign w:val="center"/>
          </w:tcPr>
          <w:p>
            <w:pPr>
              <w:spacing w:after="40"/>
            </w:pPr>
            <w:r>
              <w:t>Unique element in expected DOM/frame scope.</w:t>
            </w:r>
          </w:p>
        </w:tc>
      </w:tr>
      <w:tr>
        <w:tc>
          <w:tcPr>
            <w:tcW w:type="dxa" w:w="3283"/>
            <w:vAlign w:val="center"/>
          </w:tcPr>
          <w:p>
            <w:pPr>
              <w:spacing w:after="40"/>
            </w:pPr>
            <w:r>
              <w:t>browser.element.click</w:t>
            </w:r>
          </w:p>
        </w:tc>
        <w:tc>
          <w:tcPr>
            <w:tcW w:type="dxa" w:w="3283"/>
            <w:vAlign w:val="center"/>
          </w:tcPr>
          <w:p>
            <w:pPr>
              <w:spacing w:after="40"/>
            </w:pPr>
            <w:r>
              <w:t>locatorRef → action evidence</w:t>
            </w:r>
          </w:p>
        </w:tc>
        <w:tc>
          <w:tcPr>
            <w:tcW w:type="dxa" w:w="3283"/>
            <w:vAlign w:val="center"/>
          </w:tcPr>
          <w:p>
            <w:pPr>
              <w:spacing w:after="40"/>
            </w:pPr>
            <w:r>
              <w:t>Postcondition observed; ambiguous final commit → UNKNOWN.</w:t>
            </w:r>
          </w:p>
        </w:tc>
      </w:tr>
      <w:tr>
        <w:tc>
          <w:tcPr>
            <w:tcW w:type="dxa" w:w="3283"/>
            <w:vAlign w:val="center"/>
          </w:tcPr>
          <w:p>
            <w:pPr>
              <w:spacing w:after="40"/>
            </w:pPr>
            <w:r>
              <w:t>browser.element.fill</w:t>
            </w:r>
          </w:p>
        </w:tc>
        <w:tc>
          <w:tcPr>
            <w:tcW w:type="dxa" w:w="3283"/>
            <w:vAlign w:val="center"/>
          </w:tcPr>
          <w:p>
            <w:pPr>
              <w:spacing w:after="40"/>
            </w:pPr>
            <w:r>
              <w:t>locatorRef, textRef → observedValue</w:t>
            </w:r>
          </w:p>
        </w:tc>
        <w:tc>
          <w:tcPr>
            <w:tcW w:type="dxa" w:w="3283"/>
            <w:vAlign w:val="center"/>
          </w:tcPr>
          <w:p>
            <w:pPr>
              <w:spacing w:after="40"/>
            </w:pPr>
            <w:r>
              <w:t>Field value read back when supported.</w:t>
            </w:r>
          </w:p>
        </w:tc>
      </w:tr>
      <w:tr>
        <w:tc>
          <w:tcPr>
            <w:tcW w:type="dxa" w:w="3283"/>
            <w:vAlign w:val="center"/>
          </w:tcPr>
          <w:p>
            <w:pPr>
              <w:spacing w:after="40"/>
            </w:pPr>
            <w:r>
              <w:t>browser.element.select</w:t>
            </w:r>
          </w:p>
        </w:tc>
        <w:tc>
          <w:tcPr>
            <w:tcW w:type="dxa" w:w="3283"/>
            <w:vAlign w:val="center"/>
          </w:tcPr>
          <w:p>
            <w:pPr>
              <w:spacing w:after="40"/>
            </w:pPr>
            <w:r>
              <w:t>locatorRef, optionRef → selectedValue</w:t>
            </w:r>
          </w:p>
        </w:tc>
        <w:tc>
          <w:tcPr>
            <w:tcW w:type="dxa" w:w="3283"/>
            <w:vAlign w:val="center"/>
          </w:tcPr>
          <w:p>
            <w:pPr>
              <w:spacing w:after="40"/>
            </w:pPr>
            <w:r>
              <w:t>Selected option verified.</w:t>
            </w:r>
          </w:p>
        </w:tc>
      </w:tr>
      <w:tr>
        <w:tc>
          <w:tcPr>
            <w:tcW w:type="dxa" w:w="3283"/>
            <w:vAlign w:val="center"/>
          </w:tcPr>
          <w:p>
            <w:pPr>
              <w:spacing w:after="40"/>
            </w:pPr>
            <w:r>
              <w:t>browser.frame.resolve</w:t>
            </w:r>
          </w:p>
        </w:tc>
        <w:tc>
          <w:tcPr>
            <w:tcW w:type="dxa" w:w="3283"/>
            <w:vAlign w:val="center"/>
          </w:tcPr>
          <w:p>
            <w:pPr>
              <w:spacing w:after="40"/>
            </w:pPr>
            <w:r>
              <w:t>frameChain → frameRef</w:t>
            </w:r>
          </w:p>
        </w:tc>
        <w:tc>
          <w:tcPr>
            <w:tcW w:type="dxa" w:w="3283"/>
            <w:vAlign w:val="center"/>
          </w:tcPr>
          <w:p>
            <w:pPr>
              <w:spacing w:after="40"/>
            </w:pPr>
            <w:r>
              <w:t>Frame chain resolves within browser permission model.</w:t>
            </w:r>
          </w:p>
        </w:tc>
      </w:tr>
      <w:tr>
        <w:tc>
          <w:tcPr>
            <w:tcW w:type="dxa" w:w="3283"/>
            <w:vAlign w:val="center"/>
          </w:tcPr>
          <w:p>
            <w:pPr>
              <w:spacing w:after="40"/>
            </w:pPr>
            <w:r>
              <w:t>browser.file.download</w:t>
            </w:r>
          </w:p>
        </w:tc>
        <w:tc>
          <w:tcPr>
            <w:tcW w:type="dxa" w:w="3283"/>
            <w:vAlign w:val="center"/>
          </w:tcPr>
          <w:p>
            <w:pPr>
              <w:spacing w:after="40"/>
            </w:pPr>
            <w:r>
              <w:t>downloadRef, approvedPathRef → artifactRef</w:t>
            </w:r>
          </w:p>
        </w:tc>
        <w:tc>
          <w:tcPr>
            <w:tcW w:type="dxa" w:w="3283"/>
            <w:vAlign w:val="center"/>
          </w:tcPr>
          <w:p>
            <w:pPr>
              <w:spacing w:after="40"/>
            </w:pPr>
            <w:r>
              <w:t>Saved file verified within sandbox.</w:t>
            </w:r>
          </w:p>
        </w:tc>
      </w:tr>
      <w:tr>
        <w:tc>
          <w:tcPr>
            <w:tcW w:type="dxa" w:w="3283"/>
            <w:vAlign w:val="center"/>
          </w:tcPr>
          <w:p>
            <w:pPr>
              <w:spacing w:after="40"/>
            </w:pPr>
            <w:r>
              <w:t>browser.file.upload</w:t>
            </w:r>
          </w:p>
        </w:tc>
        <w:tc>
          <w:tcPr>
            <w:tcW w:type="dxa" w:w="3283"/>
            <w:vAlign w:val="center"/>
          </w:tcPr>
          <w:p>
            <w:pPr>
              <w:spacing w:after="40"/>
            </w:pPr>
            <w:r>
              <w:t>locatorRef, approvedFileRef → success</w:t>
            </w:r>
          </w:p>
        </w:tc>
        <w:tc>
          <w:tcPr>
            <w:tcW w:type="dxa" w:w="3283"/>
            <w:vAlign w:val="center"/>
          </w:tcPr>
          <w:p>
            <w:pPr>
              <w:spacing w:after="40"/>
            </w:pPr>
            <w:r>
              <w:t>Authorized file chosen for upload.</w:t>
            </w:r>
          </w:p>
        </w:tc>
      </w:tr>
      <w:tr>
        <w:tc>
          <w:tcPr>
            <w:tcW w:type="dxa" w:w="3283"/>
            <w:vAlign w:val="center"/>
          </w:tcPr>
          <w:p>
            <w:pPr>
              <w:spacing w:after="40"/>
            </w:pPr>
            <w:r>
              <w:t>browser.dialog.respond</w:t>
            </w:r>
          </w:p>
        </w:tc>
        <w:tc>
          <w:tcPr>
            <w:tcW w:type="dxa" w:w="3283"/>
            <w:vAlign w:val="center"/>
          </w:tcPr>
          <w:p>
            <w:pPr>
              <w:spacing w:after="40"/>
            </w:pPr>
            <w:r>
              <w:t>dialogRef, choice → closed</w:t>
            </w:r>
          </w:p>
        </w:tc>
        <w:tc>
          <w:tcPr>
            <w:tcW w:type="dxa" w:w="3283"/>
            <w:vAlign w:val="center"/>
          </w:tcPr>
          <w:p>
            <w:pPr>
              <w:spacing w:after="40"/>
            </w:pPr>
            <w:r>
              <w:t>Expected dialog handled.</w:t>
            </w:r>
          </w:p>
        </w:tc>
      </w:tr>
      <w:tr>
        <w:tc>
          <w:tcPr>
            <w:tcW w:type="dxa" w:w="3283"/>
            <w:vAlign w:val="center"/>
          </w:tcPr>
          <w:p>
            <w:pPr>
              <w:spacing w:after="40"/>
            </w:pPr>
            <w:r>
              <w:t>browser.page.assert</w:t>
            </w:r>
          </w:p>
        </w:tc>
        <w:tc>
          <w:tcPr>
            <w:tcW w:type="dxa" w:w="3283"/>
            <w:vAlign w:val="center"/>
          </w:tcPr>
          <w:p>
            <w:pPr>
              <w:spacing w:after="40"/>
            </w:pPr>
            <w:r>
              <w:t>technical predicate → boolean</w:t>
            </w:r>
          </w:p>
        </w:tc>
        <w:tc>
          <w:tcPr>
            <w:tcW w:type="dxa" w:w="3283"/>
            <w:vAlign w:val="center"/>
          </w:tcPr>
          <w:p>
            <w:pPr>
              <w:spacing w:after="40"/>
            </w:pPr>
            <w:r>
              <w:t>No domain computations or business comparison.</w:t>
            </w:r>
          </w:p>
        </w:tc>
      </w:tr>
    </w:tbl>
    <w:p>
      <w:pPr>
        <w:pStyle w:val="Heading1"/>
      </w:pPr>
      <w:r>
        <w:t>10. Browser security and offline packaging details</w:t>
      </w:r>
    </w:p>
    <w:p>
      <w:pPr>
        <w:pStyle w:val="ListBullet"/>
      </w:pPr>
      <w:r>
        <w:t>Saved Playwright storageState can contain live cookies/tokens and must be held as a sensitive secret reference, never embedded in a published script or exported diagnostics.</w:t>
      </w:r>
    </w:p>
    <w:p>
      <w:pPr>
        <w:pStyle w:val="ListBullet"/>
      </w:pPr>
      <w:r>
        <w:t>Script-supplied JavaScript evaluation, browser fetch/XHR calls made as API adapters, and arbitrary code execution are not available actions. Trusted internal Playwright implementation logic may execute internally when needed for DOM operation, but cannot accept scripts from the automation definition.</w:t>
      </w:r>
    </w:p>
    <w:p>
      <w:pPr>
        <w:pStyle w:val="ListBullet"/>
      </w:pPr>
      <w:r>
        <w:t>An isolated-mode offline bundle must include pinned certified Playwright browser binaries and version references; runtime must not attempt Internet downloads to repair missing browsers.</w:t>
      </w:r>
    </w:p>
    <w:p>
      <w:pPr>
        <w:pStyle w:val="ListBullet"/>
      </w:pPr>
      <w:r>
        <w:t>service.invoke is the only explicit business API integration action. Any backend processing/integration associated with web data belongs to a custom service, not the Browser Runtime.</w:t>
      </w:r>
    </w:p>
    <w:p>
      <w:pPr>
        <w:pStyle w:val="Heading1"/>
      </w:pPr>
      <w:r>
        <w:t>11. Additional Browser acceptance tests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t>Test ID</w:t>
            </w:r>
          </w:p>
        </w:tc>
        <w:tc>
          <w:tcPr>
            <w:tcW w:type="dxa" w:w="3283"/>
            <w:vAlign w:val="center"/>
          </w:tcPr>
          <w:p>
            <w:pPr>
              <w:spacing w:after="40"/>
            </w:pPr>
            <w:r>
              <w:t>Input / scenario</w:t>
            </w:r>
          </w:p>
        </w:tc>
        <w:tc>
          <w:tcPr>
            <w:tcW w:type="dxa" w:w="3283"/>
            <w:vAlign w:val="center"/>
          </w:tcPr>
          <w:p>
            <w:pPr>
              <w:spacing w:after="40"/>
            </w:pPr>
            <w:r>
              <w:t>Pass criteria</w:t>
            </w:r>
          </w:p>
        </w:tc>
      </w:tr>
      <w:tr>
        <w:tc>
          <w:tcPr>
            <w:tcW w:type="dxa" w:w="3283"/>
            <w:vAlign w:val="center"/>
          </w:tcPr>
          <w:p>
            <w:pPr>
              <w:spacing w:after="40"/>
            </w:pPr>
            <w:r>
              <w:t>BRW-AT-16</w:t>
            </w:r>
          </w:p>
        </w:tc>
        <w:tc>
          <w:tcPr>
            <w:tcW w:type="dxa" w:w="3283"/>
            <w:vAlign w:val="center"/>
          </w:tcPr>
          <w:p>
            <w:pPr>
              <w:spacing w:after="40"/>
            </w:pPr>
            <w:r>
              <w:t>Browser script tries direct fetch to ERP REST API</w:t>
            </w:r>
          </w:p>
        </w:tc>
        <w:tc>
          <w:tcPr>
            <w:tcW w:type="dxa" w:w="3283"/>
            <w:vAlign w:val="center"/>
          </w:tcPr>
          <w:p>
            <w:pPr>
              <w:spacing w:after="40"/>
            </w:pPr>
            <w:r>
              <w:t>Rejected before network side effect; normal web-navigation remains functional.</w:t>
            </w:r>
          </w:p>
        </w:tc>
      </w:tr>
      <w:tr>
        <w:tc>
          <w:tcPr>
            <w:tcW w:type="dxa" w:w="3283"/>
            <w:vAlign w:val="center"/>
          </w:tcPr>
          <w:p>
            <w:pPr>
              <w:spacing w:after="40"/>
            </w:pPr>
            <w:r>
              <w:t>BRW-AT-17</w:t>
            </w:r>
          </w:p>
        </w:tc>
        <w:tc>
          <w:tcPr>
            <w:tcW w:type="dxa" w:w="3283"/>
            <w:vAlign w:val="center"/>
          </w:tcPr>
          <w:p>
            <w:pPr>
              <w:spacing w:after="40"/>
            </w:pPr>
            <w:r>
              <w:t>Browser script contains page.evaluate supplied JavaScript</w:t>
            </w:r>
          </w:p>
        </w:tc>
        <w:tc>
          <w:tcPr>
            <w:tcW w:type="dxa" w:w="3283"/>
            <w:vAlign w:val="center"/>
          </w:tcPr>
          <w:p>
            <w:pPr>
              <w:spacing w:after="40"/>
            </w:pPr>
            <w:r>
              <w:t>Schema rejects user-authored evaluation.</w:t>
            </w:r>
          </w:p>
        </w:tc>
      </w:tr>
      <w:tr>
        <w:tc>
          <w:tcPr>
            <w:tcW w:type="dxa" w:w="3283"/>
            <w:vAlign w:val="center"/>
          </w:tcPr>
          <w:p>
            <w:pPr>
              <w:spacing w:after="40"/>
            </w:pPr>
            <w:r>
              <w:t>BRW-AT-18</w:t>
            </w:r>
          </w:p>
        </w:tc>
        <w:tc>
          <w:tcPr>
            <w:tcW w:type="dxa" w:w="3283"/>
            <w:vAlign w:val="center"/>
          </w:tcPr>
          <w:p>
            <w:pPr>
              <w:spacing w:after="40"/>
            </w:pPr>
            <w:r>
              <w:t>storageState contains refresh token</w:t>
            </w:r>
          </w:p>
        </w:tc>
        <w:tc>
          <w:tcPr>
            <w:tcW w:type="dxa" w:w="3283"/>
            <w:vAlign w:val="center"/>
          </w:tcPr>
          <w:p>
            <w:pPr>
              <w:spacing w:after="40"/>
            </w:pPr>
            <w:r>
              <w:t>Secret reference used; traces/logs contain no token.</w:t>
            </w:r>
          </w:p>
        </w:tc>
      </w:tr>
      <w:tr>
        <w:tc>
          <w:tcPr>
            <w:tcW w:type="dxa" w:w="3283"/>
            <w:vAlign w:val="center"/>
          </w:tcPr>
          <w:p>
            <w:pPr>
              <w:spacing w:after="40"/>
            </w:pPr>
            <w:r>
              <w:t>BRW-AT-19</w:t>
            </w:r>
          </w:p>
        </w:tc>
        <w:tc>
          <w:tcPr>
            <w:tcW w:type="dxa" w:w="3283"/>
            <w:vAlign w:val="center"/>
          </w:tcPr>
          <w:p>
            <w:pPr>
              <w:spacing w:after="40"/>
            </w:pPr>
            <w:r>
              <w:t>Isolated host without Internet and browser binaries bundled</w:t>
            </w:r>
          </w:p>
        </w:tc>
        <w:tc>
          <w:tcPr>
            <w:tcW w:type="dxa" w:w="3283"/>
            <w:vAlign w:val="center"/>
          </w:tcPr>
          <w:p>
            <w:pPr>
              <w:spacing w:after="40"/>
            </w:pPr>
            <w:r>
              <w:t>Headless Browser starts and executes fixture without download.</w:t>
            </w:r>
          </w:p>
        </w:tc>
      </w:tr>
      <w:tr>
        <w:tc>
          <w:tcPr>
            <w:tcW w:type="dxa" w:w="3283"/>
            <w:vAlign w:val="center"/>
          </w:tcPr>
          <w:p>
            <w:pPr>
              <w:spacing w:after="40"/>
            </w:pPr>
            <w:r>
              <w:t>BRW-AT-20</w:t>
            </w:r>
          </w:p>
        </w:tc>
        <w:tc>
          <w:tcPr>
            <w:tcW w:type="dxa" w:w="3283"/>
            <w:vAlign w:val="center"/>
          </w:tcPr>
          <w:p>
            <w:pPr>
              <w:spacing w:after="40"/>
            </w:pPr>
            <w:r>
              <w:t>External custom service returns BUSINESS_REJECTION</w:t>
            </w:r>
          </w:p>
        </w:tc>
        <w:tc>
          <w:tcPr>
            <w:tcW w:type="dxa" w:w="3283"/>
            <w:vAlign w:val="center"/>
          </w:tcPr>
          <w:p>
            <w:pPr>
              <w:spacing w:after="40"/>
            </w:pPr>
            <w:r>
              <w:t>Follow preapproved actionCode without price/value comparison.</w:t>
            </w:r>
          </w:p>
        </w:tc>
      </w:tr>
    </w:tbl>
    <w:p>
      <w:pPr>
        <w:pStyle w:val="Heading1"/>
      </w:pPr>
      <w:r>
        <w:t>Definition of Done and release traceability</w:t>
      </w:r>
    </w:p>
    <w:p>
      <w:pPr>
        <w:pStyle w:val="ListBullet"/>
      </w:pPr>
      <w:r>
        <w:t>All requirements have uniquely named automated or reproducible tests with positive and negative outcomes; requirement-to-test mapping is recorded.</w:t>
      </w:r>
    </w:p>
    <w:p>
      <w:pPr>
        <w:pStyle w:val="ListBullet"/>
      </w:pPr>
      <w:r>
        <w:t>The complete CEC v1.0.1 conformance suite passes against the mock Orchestrator fixture and a real Orchestrator environment.</w:t>
      </w:r>
    </w:p>
    <w:p>
      <w:pPr>
        <w:pStyle w:val="ListBullet"/>
      </w:pPr>
      <w:r>
        <w:t>Business-comparison predicates and dynamically selected scripts/commands are rejected before executing any side effect.</w:t>
      </w:r>
    </w:p>
    <w:p>
      <w:pPr>
        <w:pStyle w:val="ListBullet"/>
      </w:pPr>
      <w:r>
        <w:t>Sensitive values are absent from logs, evidence, job messages, local crash dumps and container-mounted Tracto state.</w:t>
      </w:r>
    </w:p>
    <w:p>
      <w:pPr>
        <w:pStyle w:val="ListBullet"/>
      </w:pPr>
      <w:r>
        <w:t>Supported capability claims are backed by named environment fixtures; unsupported apps/targets are published as known limits.</w:t>
      </w:r>
    </w:p>
    <w:p>
      <w:pPr>
        <w:pStyle w:val="ListBullet"/>
      </w:pPr>
      <w:r>
        <w:t>Crash, timeout, focus/session (if applicable) and control-plane restart tests demonstrate correct cleanup, journal reconciliation and UNKNOWN semantics.</w:t>
      </w:r>
    </w:p>
    <w:p>
      <w:pPr>
        <w:pStyle w:val="ListBullet"/>
      </w:pPr>
      <w:r>
        <w:t>The worker may be released independently of the other two Runtime applications only within declared script/Orchestrator compatibility.</w:t>
      </w:r>
    </w:p>
    <w:p>
      <w:r>
        <w:br w:type="page"/>
      </w:r>
    </w:p>
    <w:p>
      <w:pPr>
        <w:pStyle w:val="Heading1"/>
      </w:pPr>
      <w:r>
        <w:t>Appendix A. Normative v1.1 alignment with completed Stage 1</w:t>
      </w:r>
    </w:p>
    <w:p>
      <w:pPr>
        <w:spacing w:after="100"/>
      </w:pPr>
      <w:r>
        <w:t>The shared Stage 1 contract v1.0.1 is authoritative for all script envelopes, service outcomes, run states, wire semantics, cancellation, security and conformance. Engine-specific content in this specification must not override it.</w:t>
      </w:r>
    </w:p>
    <w:tbl>
      <w:tblPr>
        <w:tblStyle w:val="TableGrid"/>
        <w:tblW w:type="auto" w:w="0"/>
        <w:jc w:val="center"/>
        <w:tblLook w:firstColumn="1" w:firstRow="1" w:lastColumn="0" w:lastRow="0" w:noHBand="0" w:noVBand="1" w:val="04A0"/>
      </w:tblPr>
      <w:tblGrid>
        <w:gridCol w:w="3283"/>
        <w:gridCol w:w="3283"/>
        <w:gridCol w:w="3283"/>
      </w:tblGrid>
      <w:tr>
        <w:tc>
          <w:tcPr>
            <w:tcW w:type="dxa" w:w="1800"/>
            <w:shd w:fill="173759"/>
          </w:tcPr>
          <w:p>
            <w:r>
              <w:rPr>
                <w:b/>
                <w:color w:val="FFFFFF"/>
                <w:sz w:val="17"/>
              </w:rPr>
              <w:t>Common boundary</w:t>
            </w:r>
          </w:p>
        </w:tc>
        <w:tc>
          <w:tcPr>
            <w:tcW w:type="dxa" w:w="6696"/>
            <w:shd w:fill="173759"/>
          </w:tcPr>
          <w:p>
            <w:r>
              <w:rPr>
                <w:b/>
                <w:color w:val="FFFFFF"/>
                <w:sz w:val="17"/>
              </w:rPr>
              <w:t>Required implementation / acceptance</w:t>
            </w:r>
          </w:p>
        </w:tc>
        <w:tc>
          <w:tcPr>
            <w:tcW w:type="dxa" w:w="1872"/>
            <w:shd w:fill="173759"/>
          </w:tcPr>
          <w:p>
            <w:r>
              <w:rPr>
                <w:b/>
                <w:color w:val="FFFFFF"/>
                <w:sz w:val="17"/>
              </w:rPr>
              <w:t>Authority</w:t>
            </w:r>
          </w:p>
        </w:tc>
      </w:tr>
      <w:tr>
        <w:tc>
          <w:tcPr>
            <w:tcW w:type="dxa" w:w="1800"/>
            <w:vAlign w:val="top"/>
          </w:tcPr>
          <w:p>
            <w:pPr>
              <w:spacing w:after="20" w:before="20"/>
            </w:pPr>
            <w:r>
              <w:rPr>
                <w:sz w:val="16"/>
              </w:rPr>
              <w:t>Published artifact</w:t>
            </w:r>
          </w:p>
        </w:tc>
        <w:tc>
          <w:tcPr>
            <w:tcW w:type="dxa" w:w="6696"/>
            <w:vAlign w:val="top"/>
          </w:tcPr>
          <w:p>
            <w:pPr>
              <w:spacing w:after="20" w:before="20"/>
            </w:pPr>
            <w:r>
              <w:rPr>
                <w:sz w:val="16"/>
              </w:rPr>
              <w:t>Validate signed immutable artifact digest, runtimeType, schema major, typed references, declared targets and policy refs before any action.</w:t>
            </w:r>
          </w:p>
        </w:tc>
        <w:tc>
          <w:tcPr>
            <w:tcW w:type="dxa" w:w="1872"/>
            <w:vAlign w:val="top"/>
          </w:tcPr>
          <w:p>
            <w:pPr>
              <w:spacing w:after="20" w:before="20"/>
            </w:pPr>
            <w:r>
              <w:rPr>
                <w:sz w:val="16"/>
              </w:rPr>
              <w:t>CEC-001; CEC-HOST-001; CEC-012</w:t>
            </w:r>
          </w:p>
        </w:tc>
      </w:tr>
      <w:tr>
        <w:tc>
          <w:tcPr>
            <w:tcW w:type="dxa" w:w="1800"/>
            <w:vAlign w:val="top"/>
            <w:shd w:fill="F1F5FA"/>
          </w:tcPr>
          <w:p>
            <w:pPr>
              <w:spacing w:after="20" w:before="20"/>
            </w:pPr>
            <w:r>
              <w:rPr>
                <w:sz w:val="16"/>
              </w:rPr>
              <w:t>Closed behavior</w:t>
            </w:r>
          </w:p>
        </w:tc>
        <w:tc>
          <w:tcPr>
            <w:tcW w:type="dxa" w:w="6696"/>
            <w:vAlign w:val="top"/>
            <w:shd w:fill="F1F5FA"/>
          </w:tcPr>
          <w:p>
            <w:pPr>
              <w:spacing w:after="20" w:before="20"/>
            </w:pPr>
            <w:r>
              <w:rPr>
                <w:sz w:val="16"/>
              </w:rPr>
              <w:t>Accept only the CEC technical-condition grammar, forward-only branching, bounded iteration, approved actionCode equality and typed pass-through; never business arithmetic or dynamically selected scripts.</w:t>
            </w:r>
          </w:p>
        </w:tc>
        <w:tc>
          <w:tcPr>
            <w:tcW w:type="dxa" w:w="1872"/>
            <w:vAlign w:val="top"/>
            <w:shd w:fill="F1F5FA"/>
          </w:tcPr>
          <w:p>
            <w:pPr>
              <w:spacing w:after="20" w:before="20"/>
            </w:pPr>
            <w:r>
              <w:rPr>
                <w:sz w:val="16"/>
              </w:rPr>
              <w:t>CEC-002; CEC-011; CEC-HOST-009</w:t>
            </w:r>
          </w:p>
        </w:tc>
      </w:tr>
      <w:tr>
        <w:tc>
          <w:tcPr>
            <w:tcW w:type="dxa" w:w="1800"/>
            <w:vAlign w:val="top"/>
          </w:tcPr>
          <w:p>
            <w:pPr>
              <w:spacing w:after="20" w:before="20"/>
            </w:pPr>
            <w:r>
              <w:rPr>
                <w:sz w:val="16"/>
              </w:rPr>
              <w:t>Registration/pull</w:t>
            </w:r>
          </w:p>
        </w:tc>
        <w:tc>
          <w:tcPr>
            <w:tcW w:type="dxa" w:w="6696"/>
            <w:vAlign w:val="top"/>
          </w:tcPr>
          <w:p>
            <w:pPr>
              <w:spacing w:after="20" w:before="20"/>
            </w:pPr>
            <w:r>
              <w:rPr>
                <w:sz w:val="16"/>
              </w:rPr>
              <w:t>Use the implemented Stage 1 protocolVersion, capability advertisement, supported schema majors, authenticated outbound register/pull, lastSeenAttemptId and lease grant inputs. No Runtime listener for routine dispatch.</w:t>
            </w:r>
          </w:p>
        </w:tc>
        <w:tc>
          <w:tcPr>
            <w:tcW w:type="dxa" w:w="1872"/>
            <w:vAlign w:val="top"/>
          </w:tcPr>
          <w:p>
            <w:pPr>
              <w:spacing w:after="20" w:before="20"/>
            </w:pPr>
            <w:r>
              <w:rPr>
                <w:sz w:val="16"/>
              </w:rPr>
              <w:t>CEC-HOST-003; CEC-015</w:t>
            </w:r>
          </w:p>
        </w:tc>
      </w:tr>
      <w:tr>
        <w:tc>
          <w:tcPr>
            <w:tcW w:type="dxa" w:w="1800"/>
            <w:vAlign w:val="top"/>
            <w:shd w:fill="F1F5FA"/>
          </w:tcPr>
          <w:p>
            <w:pPr>
              <w:spacing w:after="20" w:before="20"/>
            </w:pPr>
            <w:r>
              <w:rPr>
                <w:sz w:val="16"/>
              </w:rPr>
              <w:t>Leases/fencing</w:t>
            </w:r>
          </w:p>
        </w:tc>
        <w:tc>
          <w:tcPr>
            <w:tcW w:type="dxa" w:w="6696"/>
            <w:vAlign w:val="top"/>
            <w:shd w:fill="F1F5FA"/>
          </w:tcPr>
          <w:p>
            <w:pPr>
              <w:spacing w:after="20" w:before="20"/>
            </w:pPr>
            <w:r>
              <w:rPr>
                <w:sz w:val="16"/>
              </w:rPr>
              <w:t>One active job per registered worker. Persist runId, attemptId, leaseId, heartbeat sequence, checkpoints and final results. Expired leases require reconciliation; never assume failure or replay irreversible work.</w:t>
            </w:r>
          </w:p>
        </w:tc>
        <w:tc>
          <w:tcPr>
            <w:tcW w:type="dxa" w:w="1872"/>
            <w:vAlign w:val="top"/>
            <w:shd w:fill="F1F5FA"/>
          </w:tcPr>
          <w:p>
            <w:pPr>
              <w:spacing w:after="20" w:before="20"/>
            </w:pPr>
            <w:r>
              <w:rPr>
                <w:sz w:val="16"/>
              </w:rPr>
              <w:t>CEC-004; CEC-HOST-002</w:t>
            </w:r>
          </w:p>
        </w:tc>
      </w:tr>
      <w:tr>
        <w:tc>
          <w:tcPr>
            <w:tcW w:type="dxa" w:w="1800"/>
            <w:vAlign w:val="top"/>
          </w:tcPr>
          <w:p>
            <w:pPr>
              <w:spacing w:after="20" w:before="20"/>
            </w:pPr>
            <w:r>
              <w:rPr>
                <w:sz w:val="16"/>
              </w:rPr>
              <w:t>Run states</w:t>
            </w:r>
          </w:p>
        </w:tc>
        <w:tc>
          <w:tcPr>
            <w:tcW w:type="dxa" w:w="6696"/>
            <w:vAlign w:val="top"/>
          </w:tcPr>
          <w:p>
            <w:pPr>
              <w:spacing w:after="20" w:before="20"/>
            </w:pPr>
            <w:r>
              <w:rPr>
                <w:sz w:val="16"/>
              </w:rPr>
              <w:t>Use CREATED/QUEUED/LEASED/RUNNING and terminal SUCCEEDED/HANDED_OFF/FAILED/CANCELLED/TIMED_OUT/UNKNOWN. UNKNOWN is terminal and stops the attempt; needsAttention is a flag, not a new state.</w:t>
            </w:r>
          </w:p>
        </w:tc>
        <w:tc>
          <w:tcPr>
            <w:tcW w:type="dxa" w:w="1872"/>
            <w:vAlign w:val="top"/>
          </w:tcPr>
          <w:p>
            <w:pPr>
              <w:spacing w:after="20" w:before="20"/>
            </w:pPr>
            <w:r>
              <w:rPr>
                <w:sz w:val="16"/>
              </w:rPr>
              <w:t>CEC-016; CEC state model</w:t>
            </w:r>
          </w:p>
        </w:tc>
      </w:tr>
      <w:tr>
        <w:tc>
          <w:tcPr>
            <w:tcW w:type="dxa" w:w="1800"/>
            <w:vAlign w:val="top"/>
            <w:shd w:fill="F1F5FA"/>
          </w:tcPr>
          <w:p>
            <w:pPr>
              <w:spacing w:after="20" w:before="20"/>
            </w:pPr>
            <w:r>
              <w:rPr>
                <w:sz w:val="16"/>
              </w:rPr>
              <w:t>Service invocation</w:t>
            </w:r>
          </w:p>
        </w:tc>
        <w:tc>
          <w:tcPr>
            <w:tcW w:type="dxa" w:w="6696"/>
            <w:vAlign w:val="top"/>
            <w:shd w:fill="F1F5FA"/>
          </w:tcPr>
          <w:p>
            <w:pPr>
              <w:spacing w:after="20" w:before="20"/>
            </w:pPr>
            <w:r>
              <w:rPr>
                <w:sz w:val="16"/>
              </w:rPr>
              <w:t>Use service.invoke only for registered custom business-service operations. Outcomes: SUCCESS, BUSINESS_REJECTION, TECHNICAL_FAILURE, TRANSIENT_FAILURE, UNKNOWN_OUTCOME; businessOutcome separately. HANDED_OFF is a run state after confirmed asynchronous acknowledgment.</w:t>
            </w:r>
          </w:p>
        </w:tc>
        <w:tc>
          <w:tcPr>
            <w:tcW w:type="dxa" w:w="1872"/>
            <w:vAlign w:val="top"/>
            <w:shd w:fill="F1F5FA"/>
          </w:tcPr>
          <w:p>
            <w:pPr>
              <w:spacing w:after="20" w:before="20"/>
            </w:pPr>
            <w:r>
              <w:rPr>
                <w:sz w:val="16"/>
              </w:rPr>
              <w:t>CEC-005; CEC-013; CEC-HOST-004/005</w:t>
            </w:r>
          </w:p>
        </w:tc>
      </w:tr>
      <w:tr>
        <w:tc>
          <w:tcPr>
            <w:tcW w:type="dxa" w:w="1800"/>
            <w:vAlign w:val="top"/>
          </w:tcPr>
          <w:p>
            <w:pPr>
              <w:spacing w:after="20" w:before="20"/>
            </w:pPr>
            <w:r>
              <w:rPr>
                <w:sz w:val="16"/>
              </w:rPr>
              <w:t>Technical continuation</w:t>
            </w:r>
          </w:p>
        </w:tc>
        <w:tc>
          <w:tcPr>
            <w:tcW w:type="dxa" w:w="6696"/>
            <w:vAlign w:val="top"/>
          </w:tcPr>
          <w:p>
            <w:pPr>
              <w:spacing w:after="20" w:before="20"/>
            </w:pPr>
            <w:r>
              <w:rPr>
                <w:sz w:val="16"/>
              </w:rPr>
              <w:t>A SUCCEEDED run or authenticated deduplicated callback may create one Orchestrator-configured successor run; neither script, Runtime, nor business service dynamically chooses next automation.</w:t>
            </w:r>
          </w:p>
        </w:tc>
        <w:tc>
          <w:tcPr>
            <w:tcW w:type="dxa" w:w="1872"/>
            <w:vAlign w:val="top"/>
          </w:tcPr>
          <w:p>
            <w:pPr>
              <w:spacing w:after="20" w:before="20"/>
            </w:pPr>
            <w:r>
              <w:rPr>
                <w:sz w:val="16"/>
              </w:rPr>
              <w:t>CEC-008; CEC §9</w:t>
            </w:r>
          </w:p>
        </w:tc>
      </w:tr>
      <w:tr>
        <w:tc>
          <w:tcPr>
            <w:tcW w:type="dxa" w:w="1800"/>
            <w:vAlign w:val="top"/>
            <w:shd w:fill="F1F5FA"/>
          </w:tcPr>
          <w:p>
            <w:pPr>
              <w:spacing w:after="20" w:before="20"/>
            </w:pPr>
            <w:r>
              <w:rPr>
                <w:sz w:val="16"/>
              </w:rPr>
              <w:t>Error/evidence</w:t>
            </w:r>
          </w:p>
        </w:tc>
        <w:tc>
          <w:tcPr>
            <w:tcW w:type="dxa" w:w="6696"/>
            <w:vAlign w:val="top"/>
            <w:shd w:fill="F1F5FA"/>
          </w:tcPr>
          <w:p>
            <w:pPr>
              <w:spacing w:after="20" w:before="20"/>
            </w:pPr>
            <w:r>
              <w:rPr>
                <w:sz w:val="16"/>
              </w:rPr>
              <w:t>Use the 11 canonical errorCategory names and namespaced browser.* or terminal.* detail codes. Redact secrets in job messages, diagnostic evidence, screenshots, streams, dumps and offline packages.</w:t>
            </w:r>
          </w:p>
        </w:tc>
        <w:tc>
          <w:tcPr>
            <w:tcW w:type="dxa" w:w="1872"/>
            <w:vAlign w:val="top"/>
            <w:shd w:fill="F1F5FA"/>
          </w:tcPr>
          <w:p>
            <w:pPr>
              <w:spacing w:after="20" w:before="20"/>
            </w:pPr>
            <w:r>
              <w:rPr>
                <w:sz w:val="16"/>
              </w:rPr>
              <w:t>CEC §6.2; CEC-HOST-008</w:t>
            </w:r>
          </w:p>
        </w:tc>
      </w:tr>
      <w:tr>
        <w:tc>
          <w:tcPr>
            <w:tcW w:type="dxa" w:w="1800"/>
            <w:vAlign w:val="top"/>
          </w:tcPr>
          <w:p>
            <w:pPr>
              <w:spacing w:after="20" w:before="20"/>
            </w:pPr>
            <w:r>
              <w:rPr>
                <w:sz w:val="16"/>
              </w:rPr>
              <w:t>Version and testing</w:t>
            </w:r>
          </w:p>
        </w:tc>
        <w:tc>
          <w:tcPr>
            <w:tcW w:type="dxa" w:w="6696"/>
            <w:vAlign w:val="top"/>
          </w:tcPr>
          <w:p>
            <w:pPr>
              <w:spacing w:after="20" w:before="20"/>
            </w:pPr>
            <w:r>
              <w:rPr>
                <w:sz w:val="16"/>
              </w:rPr>
              <w:t>Initial script schema major is v1; test v1 and rejection of unsupported majors. N/N-1 tests apply once a real previous major exists. Pass completed Stage 1 conformance fixtures against mock, then real compatible Orchestrator before release.</w:t>
            </w:r>
          </w:p>
        </w:tc>
        <w:tc>
          <w:tcPr>
            <w:tcW w:type="dxa" w:w="1872"/>
            <w:vAlign w:val="top"/>
          </w:tcPr>
          <w:p>
            <w:pPr>
              <w:spacing w:after="20" w:before="20"/>
            </w:pPr>
            <w:r>
              <w:rPr>
                <w:sz w:val="16"/>
              </w:rPr>
              <w:t>CEC-007; CEC-010; CEC §12</w:t>
            </w:r>
          </w:p>
        </w:tc>
      </w:tr>
      <w:tr>
        <w:tc>
          <w:tcPr>
            <w:tcW w:type="dxa" w:w="1800"/>
            <w:vAlign w:val="top"/>
            <w:shd w:fill="F1F5FA"/>
          </w:tcPr>
          <w:p>
            <w:pPr>
              <w:spacing w:after="20" w:before="20"/>
            </w:pPr>
            <w:r>
              <w:rPr>
                <w:sz w:val="16"/>
              </w:rPr>
              <w:t>Modes and ownership</w:t>
            </w:r>
          </w:p>
        </w:tc>
        <w:tc>
          <w:tcPr>
            <w:tcW w:type="dxa" w:w="6696"/>
            <w:vAlign w:val="top"/>
            <w:shd w:fill="F1F5FA"/>
          </w:tcPr>
          <w:p>
            <w:pPr>
              <w:spacing w:after="20" w:before="20"/>
            </w:pPr>
            <w:r>
              <w:rPr>
                <w:sz w:val="16"/>
              </w:rPr>
              <w:t>Connected: central Linux-container Orchestrator; isolated: same image in Docker Engine/WSL2 under single shared Windows Host Supervisor. These are not additional Tracto product components.</w:t>
            </w:r>
          </w:p>
        </w:tc>
        <w:tc>
          <w:tcPr>
            <w:tcW w:type="dxa" w:w="1872"/>
            <w:vAlign w:val="top"/>
            <w:shd w:fill="F1F5FA"/>
          </w:tcPr>
          <w:p>
            <w:pPr>
              <w:spacing w:after="20" w:before="20"/>
            </w:pPr>
            <w:r>
              <w:rPr>
                <w:sz w:val="16"/>
              </w:rPr>
              <w:t>Architecture v1.2A §§5,9</w:t>
            </w:r>
          </w:p>
        </w:tc>
      </w:tr>
    </w:tbl>
    <w:p/>
    <w:p>
      <w:pPr>
        <w:pStyle w:val="Heading1"/>
      </w:pPr>
      <w:r>
        <w:t>Appendix B. Engine-specific safeguards and design limits</w:t>
      </w:r>
    </w:p>
    <w:tbl>
      <w:tblPr>
        <w:tblStyle w:val="TableGrid"/>
        <w:tblW w:type="auto" w:w="0"/>
        <w:jc w:val="center"/>
        <w:tblLook w:firstColumn="1" w:firstRow="1" w:lastColumn="0" w:lastRow="0" w:noHBand="0" w:noVBand="1" w:val="04A0"/>
      </w:tblPr>
      <w:tblGrid>
        <w:gridCol w:w="4925"/>
        <w:gridCol w:w="4925"/>
      </w:tblGrid>
      <w:tr>
        <w:tc>
          <w:tcPr>
            <w:tcW w:type="dxa" w:w="2376"/>
            <w:shd w:fill="173759"/>
          </w:tcPr>
          <w:p>
            <w:r>
              <w:rPr>
                <w:b/>
                <w:color w:val="FFFFFF"/>
                <w:sz w:val="17"/>
              </w:rPr>
              <w:t>Subject</w:t>
            </w:r>
          </w:p>
        </w:tc>
        <w:tc>
          <w:tcPr>
            <w:tcW w:type="dxa" w:w="8064"/>
            <w:shd w:fill="173759"/>
          </w:tcPr>
          <w:p>
            <w:r>
              <w:rPr>
                <w:b/>
                <w:color w:val="FFFFFF"/>
                <w:sz w:val="17"/>
              </w:rPr>
              <w:t>Mandatory v1.1 rule</w:t>
            </w:r>
          </w:p>
        </w:tc>
      </w:tr>
      <w:tr>
        <w:tc>
          <w:tcPr>
            <w:tcW w:type="dxa" w:w="2376"/>
            <w:vAlign w:val="top"/>
          </w:tcPr>
          <w:p>
            <w:pPr>
              <w:spacing w:after="20" w:before="20"/>
            </w:pPr>
            <w:r>
              <w:rPr>
                <w:sz w:val="16"/>
              </w:rPr>
              <w:t>Headed versus headless</w:t>
            </w:r>
          </w:p>
        </w:tc>
        <w:tc>
          <w:tcPr>
            <w:tcW w:type="dxa" w:w="8064"/>
            <w:vAlign w:val="top"/>
          </w:tcPr>
          <w:p>
            <w:pPr>
              <w:spacing w:after="20" w:before="20"/>
            </w:pPr>
            <w:r>
              <w:rPr>
                <w:sz w:val="16"/>
              </w:rPr>
              <w:t>Headless execution does not claim a foreground Windows session and may run alongside Desktop subject to worker/host capacity. Headed Browser in the same interactive session uses the same single foreground-input ownership exclusion as Desktop. Never invent a second per-host global job limit.</w:t>
            </w:r>
          </w:p>
        </w:tc>
      </w:tr>
      <w:tr>
        <w:tc>
          <w:tcPr>
            <w:tcW w:type="dxa" w:w="2376"/>
            <w:vAlign w:val="top"/>
            <w:shd w:fill="F1F5FA"/>
          </w:tcPr>
          <w:p>
            <w:pPr>
              <w:spacing w:after="20" w:before="20"/>
            </w:pPr>
            <w:r>
              <w:rPr>
                <w:sz w:val="16"/>
              </w:rPr>
              <w:t>Browser traffic distinction</w:t>
            </w:r>
          </w:p>
        </w:tc>
        <w:tc>
          <w:tcPr>
            <w:tcW w:type="dxa" w:w="8064"/>
            <w:vAlign w:val="top"/>
            <w:shd w:fill="F1F5FA"/>
          </w:tcPr>
          <w:p>
            <w:pPr>
              <w:spacing w:after="20" w:before="20"/>
            </w:pPr>
            <w:r>
              <w:rPr>
                <w:sz w:val="16"/>
              </w:rPr>
              <w:t>Normal HTTP(S) requests generated by authorized page navigation are part of browser UI operation. Tracto script cannot author arbitrary fetch/XHR/APIRequest/page.evaluate to call a business system. A backend invoked by the visited website is not the Browser worker acting as an integration API adapter.</w:t>
            </w:r>
          </w:p>
        </w:tc>
      </w:tr>
      <w:tr>
        <w:tc>
          <w:tcPr>
            <w:tcW w:type="dxa" w:w="2376"/>
            <w:vAlign w:val="top"/>
          </w:tcPr>
          <w:p>
            <w:pPr>
              <w:spacing w:after="20" w:before="20"/>
            </w:pPr>
            <w:r>
              <w:rPr>
                <w:sz w:val="16"/>
              </w:rPr>
              <w:t>Browser secrets</w:t>
            </w:r>
          </w:p>
        </w:tc>
        <w:tc>
          <w:tcPr>
            <w:tcW w:type="dxa" w:w="8064"/>
            <w:vAlign w:val="top"/>
          </w:tcPr>
          <w:p>
            <w:pPr>
              <w:spacing w:after="20" w:before="20"/>
            </w:pPr>
            <w:r>
              <w:rPr>
                <w:sz w:val="16"/>
              </w:rPr>
              <w:t>Playwright storageState, cookies, localStorage access tokens and authorization headers are credentials. Store via approved Windows-side secret reference; no raw storageState in published script, traces, evidence or Orchestrator payload.</w:t>
            </w:r>
          </w:p>
        </w:tc>
      </w:tr>
      <w:tr>
        <w:tc>
          <w:tcPr>
            <w:tcW w:type="dxa" w:w="2376"/>
            <w:vAlign w:val="top"/>
            <w:shd w:fill="F1F5FA"/>
          </w:tcPr>
          <w:p>
            <w:pPr>
              <w:spacing w:after="20" w:before="20"/>
            </w:pPr>
            <w:r>
              <w:rPr>
                <w:sz w:val="16"/>
              </w:rPr>
              <w:t>Retry and uncertainty</w:t>
            </w:r>
          </w:p>
        </w:tc>
        <w:tc>
          <w:tcPr>
            <w:tcW w:type="dxa" w:w="8064"/>
            <w:vAlign w:val="top"/>
            <w:shd w:fill="F1F5FA"/>
          </w:tcPr>
          <w:p>
            <w:pPr>
              <w:spacing w:after="20" w:before="20"/>
            </w:pPr>
            <w:r>
              <w:rPr>
                <w:sz w:val="16"/>
              </w:rPr>
              <w:t>Locator discovery and page waits may be retried within bounds. Submit, click, navigation that commits state, form submission, upload and download with externally visible effect are never blindly replayed after ambiguous acknowledgement. UNKNOWN terminates attempt.</w:t>
            </w:r>
          </w:p>
        </w:tc>
      </w:tr>
      <w:tr>
        <w:tc>
          <w:tcPr>
            <w:tcW w:type="dxa" w:w="2376"/>
            <w:vAlign w:val="top"/>
          </w:tcPr>
          <w:p>
            <w:pPr>
              <w:spacing w:after="20" w:before="20"/>
            </w:pPr>
            <w:r>
              <w:rPr>
                <w:sz w:val="16"/>
              </w:rPr>
              <w:t>Supported browser actions</w:t>
            </w:r>
          </w:p>
        </w:tc>
        <w:tc>
          <w:tcPr>
            <w:tcW w:type="dxa" w:w="8064"/>
            <w:vAlign w:val="top"/>
          </w:tcPr>
          <w:p>
            <w:pPr>
              <w:spacing w:after="20" w:before="20"/>
            </w:pPr>
            <w:r>
              <w:rPr>
                <w:sz w:val="16"/>
              </w:rPr>
              <w:t>Authoritative action catalogue is §9 and certified Browser namespace. Locator, context and file actions do not add arbitrary JavaScript or general HTTP request execution. Versioned browser binaries are packaged for isolated offline use.</w:t>
            </w:r>
          </w:p>
        </w:tc>
      </w:tr>
      <w:tr>
        <w:tc>
          <w:tcPr>
            <w:tcW w:type="dxa" w:w="2376"/>
            <w:vAlign w:val="top"/>
            <w:shd w:fill="F1F5FA"/>
          </w:tcPr>
          <w:p>
            <w:pPr>
              <w:spacing w:after="20" w:before="20"/>
            </w:pPr>
            <w:r>
              <w:rPr>
                <w:sz w:val="16"/>
              </w:rPr>
              <w:t>Certification</w:t>
            </w:r>
          </w:p>
        </w:tc>
        <w:tc>
          <w:tcPr>
            <w:tcW w:type="dxa" w:w="8064"/>
            <w:vAlign w:val="top"/>
            <w:shd w:fill="F1F5FA"/>
          </w:tcPr>
          <w:p>
            <w:pPr>
              <w:spacing w:after="20" w:before="20"/>
            </w:pPr>
            <w:r>
              <w:rPr>
                <w:sz w:val="16"/>
              </w:rPr>
              <w:t>Independent Browser fixtures BRW-AT-01–BRW-AT-28 are not architecture deployment POC-01–POC-10; those identifiers retain their original meaning. POC applicability follows deployment profile.</w:t>
            </w:r>
          </w:p>
        </w:tc>
      </w:tr>
    </w:tbl>
    <w:p/>
    <w:p>
      <w:pPr>
        <w:pStyle w:val="Heading1"/>
      </w:pPr>
      <w:r>
        <w:t>Appendix C. Additional independent Runtime acceptance tests</w:t>
      </w:r>
    </w:p>
    <w:p>
      <w:pPr>
        <w:spacing w:after="100"/>
      </w:pPr>
      <w:r>
        <w:t>The following cases supplement the existing application / shell acceptance catalogue without reusing or changing any previous test identifiers. They are functional test obligations, not new platform capabilities.</w:t>
      </w:r>
    </w:p>
    <w:tbl>
      <w:tblPr>
        <w:tblStyle w:val="TableGrid"/>
        <w:tblW w:type="auto" w:w="0"/>
        <w:jc w:val="center"/>
        <w:tblLook w:firstColumn="1" w:firstRow="1" w:lastColumn="0" w:lastRow="0" w:noHBand="0" w:noVBand="1" w:val="04A0"/>
      </w:tblPr>
      <w:tblGrid>
        <w:gridCol w:w="3283"/>
        <w:gridCol w:w="3283"/>
        <w:gridCol w:w="3283"/>
      </w:tblGrid>
      <w:tr>
        <w:tc>
          <w:tcPr>
            <w:tcW w:type="dxa" w:w="1440"/>
            <w:shd w:fill="173759"/>
          </w:tcPr>
          <w:p>
            <w:r>
              <w:rPr>
                <w:b/>
                <w:color w:val="FFFFFF"/>
                <w:sz w:val="17"/>
              </w:rPr>
              <w:t>Test ID</w:t>
            </w:r>
          </w:p>
        </w:tc>
        <w:tc>
          <w:tcPr>
            <w:tcW w:type="dxa" w:w="2232"/>
            <w:shd w:fill="173759"/>
          </w:tcPr>
          <w:p>
            <w:r>
              <w:rPr>
                <w:b/>
                <w:color w:val="FFFFFF"/>
                <w:sz w:val="17"/>
              </w:rPr>
              <w:t>Test scenario</w:t>
            </w:r>
          </w:p>
        </w:tc>
        <w:tc>
          <w:tcPr>
            <w:tcW w:type="dxa" w:w="6768"/>
            <w:shd w:fill="173759"/>
          </w:tcPr>
          <w:p>
            <w:r>
              <w:rPr>
                <w:b/>
                <w:color w:val="FFFFFF"/>
                <w:sz w:val="17"/>
              </w:rPr>
              <w:t>Acceptance evidence required</w:t>
            </w:r>
          </w:p>
        </w:tc>
      </w:tr>
      <w:tr>
        <w:tc>
          <w:tcPr>
            <w:tcW w:type="dxa" w:w="1440"/>
            <w:vAlign w:val="top"/>
          </w:tcPr>
          <w:p>
            <w:pPr>
              <w:spacing w:after="20" w:before="20"/>
            </w:pPr>
            <w:r>
              <w:rPr>
                <w:sz w:val="16"/>
              </w:rPr>
              <w:t>BRW-AT-21</w:t>
            </w:r>
          </w:p>
        </w:tc>
        <w:tc>
          <w:tcPr>
            <w:tcW w:type="dxa" w:w="2232"/>
            <w:vAlign w:val="top"/>
          </w:tcPr>
          <w:p>
            <w:pPr>
              <w:spacing w:after="20" w:before="20"/>
            </w:pPr>
            <w:r>
              <w:rPr>
                <w:sz w:val="16"/>
              </w:rPr>
              <w:t>Invalid artifact / mixed-engine</w:t>
            </w:r>
          </w:p>
        </w:tc>
        <w:tc>
          <w:tcPr>
            <w:tcW w:type="dxa" w:w="6768"/>
            <w:vAlign w:val="top"/>
          </w:tcPr>
          <w:p>
            <w:pPr>
              <w:spacing w:after="20" w:before="20"/>
            </w:pPr>
            <w:r>
              <w:rPr>
                <w:sz w:val="16"/>
              </w:rPr>
              <w:t>An unsigned, tampered, wrong-runtime or mixed desktop.* + browser.* artifact is rejected before launch or site request; expected VALIDATION or POLICY_DENIED category with non-secret detail.</w:t>
            </w:r>
          </w:p>
        </w:tc>
      </w:tr>
      <w:tr>
        <w:tc>
          <w:tcPr>
            <w:tcW w:type="dxa" w:w="1440"/>
            <w:vAlign w:val="top"/>
            <w:shd w:fill="F1F5FA"/>
          </w:tcPr>
          <w:p>
            <w:pPr>
              <w:spacing w:after="20" w:before="20"/>
            </w:pPr>
            <w:r>
              <w:rPr>
                <w:sz w:val="16"/>
              </w:rPr>
              <w:t>BRW-AT-22</w:t>
            </w:r>
          </w:p>
        </w:tc>
        <w:tc>
          <w:tcPr>
            <w:tcW w:type="dxa" w:w="2232"/>
            <w:vAlign w:val="top"/>
            <w:shd w:fill="F1F5FA"/>
          </w:tcPr>
          <w:p>
            <w:pPr>
              <w:spacing w:after="20" w:before="20"/>
            </w:pPr>
            <w:r>
              <w:rPr>
                <w:sz w:val="16"/>
              </w:rPr>
              <w:t>Capability and session advertisement</w:t>
            </w:r>
          </w:p>
        </w:tc>
        <w:tc>
          <w:tcPr>
            <w:tcW w:type="dxa" w:w="6768"/>
            <w:vAlign w:val="top"/>
            <w:shd w:fill="F1F5FA"/>
          </w:tcPr>
          <w:p>
            <w:pPr>
              <w:spacing w:after="20" w:before="20"/>
            </w:pPr>
            <w:r>
              <w:rPr>
                <w:sz w:val="16"/>
              </w:rPr>
              <w:t>Headless registration carries runtimeType=browser and no interactiveSessionId. Headed registration carries an authorized interactiveSessionId; simultaneous Desktop/headed Browser input claims for same session cannot overlap.</w:t>
            </w:r>
          </w:p>
        </w:tc>
      </w:tr>
      <w:tr>
        <w:tc>
          <w:tcPr>
            <w:tcW w:type="dxa" w:w="1440"/>
            <w:vAlign w:val="top"/>
          </w:tcPr>
          <w:p>
            <w:pPr>
              <w:spacing w:after="20" w:before="20"/>
            </w:pPr>
            <w:r>
              <w:rPr>
                <w:sz w:val="16"/>
              </w:rPr>
              <w:t>BRW-AT-23</w:t>
            </w:r>
          </w:p>
        </w:tc>
        <w:tc>
          <w:tcPr>
            <w:tcW w:type="dxa" w:w="2232"/>
            <w:vAlign w:val="top"/>
          </w:tcPr>
          <w:p>
            <w:pPr>
              <w:spacing w:after="20" w:before="20"/>
            </w:pPr>
            <w:r>
              <w:rPr>
                <w:sz w:val="16"/>
              </w:rPr>
              <w:t>Crash, cancellation and final-result fencing</w:t>
            </w:r>
          </w:p>
        </w:tc>
        <w:tc>
          <w:tcPr>
            <w:tcW w:type="dxa" w:w="6768"/>
            <w:vAlign w:val="top"/>
          </w:tcPr>
          <w:p>
            <w:pPr>
              <w:spacing w:after="20" w:before="20"/>
            </w:pPr>
            <w:r>
              <w:rPr>
                <w:sz w:val="16"/>
              </w:rPr>
              <w:t>After a browser crash or kill during an effectful Submit, journal reconciliation leads to proved final result or terminal UNKNOWN; no automatic duplicate Submit; canceled contexts/files are cleaned.</w:t>
            </w:r>
          </w:p>
        </w:tc>
      </w:tr>
      <w:tr>
        <w:tc>
          <w:tcPr>
            <w:tcW w:type="dxa" w:w="1440"/>
            <w:vAlign w:val="top"/>
            <w:shd w:fill="F1F5FA"/>
          </w:tcPr>
          <w:p>
            <w:pPr>
              <w:spacing w:after="20" w:before="20"/>
            </w:pPr>
            <w:r>
              <w:rPr>
                <w:sz w:val="16"/>
              </w:rPr>
              <w:t>BRW-AT-24</w:t>
            </w:r>
          </w:p>
        </w:tc>
        <w:tc>
          <w:tcPr>
            <w:tcW w:type="dxa" w:w="2232"/>
            <w:vAlign w:val="top"/>
            <w:shd w:fill="F1F5FA"/>
          </w:tcPr>
          <w:p>
            <w:pPr>
              <w:spacing w:after="20" w:before="20"/>
            </w:pPr>
            <w:r>
              <w:rPr>
                <w:sz w:val="16"/>
              </w:rPr>
              <w:t>All five service outcomes</w:t>
            </w:r>
          </w:p>
        </w:tc>
        <w:tc>
          <w:tcPr>
            <w:tcW w:type="dxa" w:w="6768"/>
            <w:vAlign w:val="top"/>
            <w:shd w:fill="F1F5FA"/>
          </w:tcPr>
          <w:p>
            <w:pPr>
              <w:spacing w:after="20" w:before="20"/>
            </w:pPr>
            <w:r>
              <w:rPr>
                <w:sz w:val="16"/>
              </w:rPr>
              <w:t>Fake registered service returns each of five exact serviceOutcome enum values; branch only on category/approved actionCode, distinguish technical run status from optional businessOutcome; UNKNOWN_OUTCOME never triggers blind retry.</w:t>
            </w:r>
          </w:p>
        </w:tc>
      </w:tr>
      <w:tr>
        <w:tc>
          <w:tcPr>
            <w:tcW w:type="dxa" w:w="1440"/>
            <w:vAlign w:val="top"/>
          </w:tcPr>
          <w:p>
            <w:pPr>
              <w:spacing w:after="20" w:before="20"/>
            </w:pPr>
            <w:r>
              <w:rPr>
                <w:sz w:val="16"/>
              </w:rPr>
              <w:t>BRW-AT-25</w:t>
            </w:r>
          </w:p>
        </w:tc>
        <w:tc>
          <w:tcPr>
            <w:tcW w:type="dxa" w:w="2232"/>
            <w:vAlign w:val="top"/>
          </w:tcPr>
          <w:p>
            <w:pPr>
              <w:spacing w:after="20" w:before="20"/>
            </w:pPr>
            <w:r>
              <w:rPr>
                <w:sz w:val="16"/>
              </w:rPr>
              <w:t>Async service and configured continuation</w:t>
            </w:r>
          </w:p>
        </w:tc>
        <w:tc>
          <w:tcPr>
            <w:tcW w:type="dxa" w:w="6768"/>
            <w:vAlign w:val="top"/>
          </w:tcPr>
          <w:p>
            <w:pPr>
              <w:spacing w:after="20" w:before="20"/>
            </w:pPr>
            <w:r>
              <w:rPr>
                <w:sz w:val="16"/>
              </w:rPr>
              <w:t>Confirmed async acceptance results in HANDED_OFF and releases browser worker; authenticated deduplicated callback creates exactly one separate configured continuation run; the service cannot supply a scriptRef.</w:t>
            </w:r>
          </w:p>
        </w:tc>
      </w:tr>
      <w:tr>
        <w:tc>
          <w:tcPr>
            <w:tcW w:type="dxa" w:w="1440"/>
            <w:vAlign w:val="top"/>
            <w:shd w:fill="F1F5FA"/>
          </w:tcPr>
          <w:p>
            <w:pPr>
              <w:spacing w:after="20" w:before="20"/>
            </w:pPr>
            <w:r>
              <w:rPr>
                <w:sz w:val="16"/>
              </w:rPr>
              <w:t>BRW-AT-26</w:t>
            </w:r>
          </w:p>
        </w:tc>
        <w:tc>
          <w:tcPr>
            <w:tcW w:type="dxa" w:w="2232"/>
            <w:vAlign w:val="top"/>
            <w:shd w:fill="F1F5FA"/>
          </w:tcPr>
          <w:p>
            <w:pPr>
              <w:spacing w:after="20" w:before="20"/>
            </w:pPr>
            <w:r>
              <w:rPr>
                <w:sz w:val="16"/>
              </w:rPr>
              <w:t>No API escape through browser APIs</w:t>
            </w:r>
          </w:p>
        </w:tc>
        <w:tc>
          <w:tcPr>
            <w:tcW w:type="dxa" w:w="6768"/>
            <w:vAlign w:val="top"/>
            <w:shd w:fill="F1F5FA"/>
          </w:tcPr>
          <w:p>
            <w:pPr>
              <w:spacing w:after="20" w:before="20"/>
            </w:pPr>
            <w:r>
              <w:rPr>
                <w:sz w:val="16"/>
              </w:rPr>
              <w:t>Published script with APIRequest/fetch/custom page JavaScript targeting external business API is rejected before execution; navigation through an authorized page still works as a normal browser UI interaction.</w:t>
            </w:r>
          </w:p>
        </w:tc>
      </w:tr>
      <w:tr>
        <w:tc>
          <w:tcPr>
            <w:tcW w:type="dxa" w:w="1440"/>
            <w:vAlign w:val="top"/>
          </w:tcPr>
          <w:p>
            <w:pPr>
              <w:spacing w:after="20" w:before="20"/>
            </w:pPr>
            <w:r>
              <w:rPr>
                <w:sz w:val="16"/>
              </w:rPr>
              <w:t>BRW-AT-27</w:t>
            </w:r>
          </w:p>
        </w:tc>
        <w:tc>
          <w:tcPr>
            <w:tcW w:type="dxa" w:w="2232"/>
            <w:vAlign w:val="top"/>
          </w:tcPr>
          <w:p>
            <w:pPr>
              <w:spacing w:after="20" w:before="20"/>
            </w:pPr>
            <w:r>
              <w:rPr>
                <w:sz w:val="16"/>
              </w:rPr>
              <w:t>Secrets and storageState</w:t>
            </w:r>
          </w:p>
        </w:tc>
        <w:tc>
          <w:tcPr>
            <w:tcW w:type="dxa" w:w="6768"/>
            <w:vAlign w:val="top"/>
          </w:tcPr>
          <w:p>
            <w:pPr>
              <w:spacing w:after="20" w:before="20"/>
            </w:pPr>
            <w:r>
              <w:rPr>
                <w:sz w:val="16"/>
              </w:rPr>
              <w:t>Cross-run storageState is isolated, secretRef resolved only by approved Windows-side provider, tokens absent from tracing/telemetry; masked screenshot or nonimage evidence substituted when masking cannot be guaranteed.</w:t>
            </w:r>
          </w:p>
        </w:tc>
      </w:tr>
      <w:tr>
        <w:tc>
          <w:tcPr>
            <w:tcW w:type="dxa" w:w="1440"/>
            <w:vAlign w:val="top"/>
            <w:shd w:fill="F1F5FA"/>
          </w:tcPr>
          <w:p>
            <w:pPr>
              <w:spacing w:after="20" w:before="20"/>
            </w:pPr>
            <w:r>
              <w:rPr>
                <w:sz w:val="16"/>
              </w:rPr>
              <w:t>BRW-AT-28</w:t>
            </w:r>
          </w:p>
        </w:tc>
        <w:tc>
          <w:tcPr>
            <w:tcW w:type="dxa" w:w="2232"/>
            <w:vAlign w:val="top"/>
            <w:shd w:fill="F1F5FA"/>
          </w:tcPr>
          <w:p>
            <w:pPr>
              <w:spacing w:after="20" w:before="20"/>
            </w:pPr>
            <w:r>
              <w:rPr>
                <w:sz w:val="16"/>
              </w:rPr>
              <w:t>Stage 1 conformance in both deployments</w:t>
            </w:r>
          </w:p>
        </w:tc>
        <w:tc>
          <w:tcPr>
            <w:tcW w:type="dxa" w:w="6768"/>
            <w:vAlign w:val="top"/>
            <w:shd w:fill="F1F5FA"/>
          </w:tcPr>
          <w:p>
            <w:pPr>
              <w:spacing w:after="20" w:before="20"/>
            </w:pPr>
            <w:r>
              <w:rPr>
                <w:sz w:val="16"/>
              </w:rPr>
              <w:t>Run applicable CF-01–CF-10 and protocol fault tests with mock. Connected integration uses real compatible Orchestrator. Isolated mode uses bundled certified browser binaries without downloading at runtime.</w:t>
            </w:r>
          </w:p>
        </w:tc>
      </w:tr>
    </w:tbl>
    <w:p/>
    <w:p>
      <w:pPr>
        <w:pStyle w:val="Heading1"/>
      </w:pPr>
      <w:r>
        <w:t>Appendix D. Requirement-to-test traceability</w:t>
      </w:r>
    </w:p>
    <w:p>
      <w:pPr>
        <w:spacing w:after="100"/>
      </w:pPr>
      <w:r>
        <w:t>Each original Part B requirement retains its identity. Test references below name the primary certification evidence; testers must also execute the Given/When/Then acceptance in each requirement block and add positive/negative boundaries where applicable.</w:t>
      </w:r>
    </w:p>
    <w:tbl>
      <w:tblPr>
        <w:tblStyle w:val="TableGrid"/>
        <w:tblW w:type="auto" w:w="0"/>
        <w:jc w:val="center"/>
        <w:tblLook w:firstColumn="1" w:firstRow="1" w:lastColumn="0" w:lastRow="0" w:noHBand="0" w:noVBand="1" w:val="04A0"/>
      </w:tblPr>
      <w:tblGrid>
        <w:gridCol w:w="3283"/>
        <w:gridCol w:w="3283"/>
        <w:gridCol w:w="3283"/>
      </w:tblGrid>
      <w:tr>
        <w:tc>
          <w:tcPr>
            <w:tcW w:type="dxa" w:w="2088"/>
            <w:shd w:fill="173759"/>
          </w:tcPr>
          <w:p>
            <w:r>
              <w:rPr>
                <w:b/>
                <w:color w:val="FFFFFF"/>
                <w:sz w:val="17"/>
              </w:rPr>
              <w:t>Requirement</w:t>
            </w:r>
          </w:p>
        </w:tc>
        <w:tc>
          <w:tcPr>
            <w:tcW w:type="dxa" w:w="4464"/>
            <w:shd w:fill="173759"/>
          </w:tcPr>
          <w:p>
            <w:r>
              <w:rPr>
                <w:b/>
                <w:color w:val="FFFFFF"/>
                <w:sz w:val="17"/>
              </w:rPr>
              <w:t>Mapped primary fixture tests</w:t>
            </w:r>
          </w:p>
        </w:tc>
        <w:tc>
          <w:tcPr>
            <w:tcW w:type="dxa" w:w="3888"/>
            <w:shd w:fill="173759"/>
          </w:tcPr>
          <w:p>
            <w:r>
              <w:rPr>
                <w:b/>
                <w:color w:val="FFFFFF"/>
                <w:sz w:val="17"/>
              </w:rPr>
              <w:t>Capability group</w:t>
            </w:r>
          </w:p>
        </w:tc>
      </w:tr>
      <w:tr>
        <w:tc>
          <w:tcPr>
            <w:tcW w:type="dxa" w:w="2088"/>
            <w:vAlign w:val="top"/>
          </w:tcPr>
          <w:p>
            <w:pPr>
              <w:spacing w:after="20" w:before="20"/>
            </w:pPr>
            <w:r>
              <w:rPr>
                <w:sz w:val="16"/>
              </w:rPr>
              <w:t>BRW-001</w:t>
            </w:r>
          </w:p>
        </w:tc>
        <w:tc>
          <w:tcPr>
            <w:tcW w:type="dxa" w:w="4464"/>
            <w:vAlign w:val="top"/>
          </w:tcPr>
          <w:p>
            <w:pPr>
              <w:spacing w:after="20" w:before="20"/>
            </w:pPr>
            <w:r>
              <w:rPr>
                <w:sz w:val="16"/>
              </w:rPr>
              <w:t>BRW-AT-19,28</w:t>
            </w:r>
          </w:p>
        </w:tc>
        <w:tc>
          <w:tcPr>
            <w:tcW w:type="dxa" w:w="3888"/>
            <w:vAlign w:val="top"/>
          </w:tcPr>
          <w:p>
            <w:pPr>
              <w:spacing w:after="20" w:before="20"/>
            </w:pPr>
            <w:r>
              <w:rPr>
                <w:sz w:val="16"/>
              </w:rPr>
              <w:t>Environment</w:t>
            </w:r>
          </w:p>
        </w:tc>
      </w:tr>
      <w:tr>
        <w:tc>
          <w:tcPr>
            <w:tcW w:type="dxa" w:w="2088"/>
            <w:vAlign w:val="top"/>
            <w:shd w:fill="F1F5FA"/>
          </w:tcPr>
          <w:p>
            <w:pPr>
              <w:spacing w:after="20" w:before="20"/>
            </w:pPr>
            <w:r>
              <w:rPr>
                <w:sz w:val="16"/>
              </w:rPr>
              <w:t>BRW-002</w:t>
            </w:r>
          </w:p>
        </w:tc>
        <w:tc>
          <w:tcPr>
            <w:tcW w:type="dxa" w:w="4464"/>
            <w:vAlign w:val="top"/>
            <w:shd w:fill="F1F5FA"/>
          </w:tcPr>
          <w:p>
            <w:pPr>
              <w:spacing w:after="20" w:before="20"/>
            </w:pPr>
            <w:r>
              <w:rPr>
                <w:sz w:val="16"/>
              </w:rPr>
              <w:t>BRW-AT-10,22</w:t>
            </w:r>
          </w:p>
        </w:tc>
        <w:tc>
          <w:tcPr>
            <w:tcW w:type="dxa" w:w="3888"/>
            <w:vAlign w:val="top"/>
            <w:shd w:fill="F1F5FA"/>
          </w:tcPr>
          <w:p>
            <w:pPr>
              <w:spacing w:after="20" w:before="20"/>
            </w:pPr>
            <w:r>
              <w:rPr>
                <w:sz w:val="16"/>
              </w:rPr>
              <w:t>Environment</w:t>
            </w:r>
          </w:p>
        </w:tc>
      </w:tr>
      <w:tr>
        <w:tc>
          <w:tcPr>
            <w:tcW w:type="dxa" w:w="2088"/>
            <w:vAlign w:val="top"/>
          </w:tcPr>
          <w:p>
            <w:pPr>
              <w:spacing w:after="20" w:before="20"/>
            </w:pPr>
            <w:r>
              <w:rPr>
                <w:sz w:val="16"/>
              </w:rPr>
              <w:t>BRW-003</w:t>
            </w:r>
          </w:p>
        </w:tc>
        <w:tc>
          <w:tcPr>
            <w:tcW w:type="dxa" w:w="4464"/>
            <w:vAlign w:val="top"/>
          </w:tcPr>
          <w:p>
            <w:pPr>
              <w:spacing w:after="20" w:before="20"/>
            </w:pPr>
            <w:r>
              <w:rPr>
                <w:sz w:val="16"/>
              </w:rPr>
              <w:t>BRW-AT-13,27</w:t>
            </w:r>
          </w:p>
        </w:tc>
        <w:tc>
          <w:tcPr>
            <w:tcW w:type="dxa" w:w="3888"/>
            <w:vAlign w:val="top"/>
          </w:tcPr>
          <w:p>
            <w:pPr>
              <w:spacing w:after="20" w:before="20"/>
            </w:pPr>
            <w:r>
              <w:rPr>
                <w:sz w:val="16"/>
              </w:rPr>
              <w:t>Environment</w:t>
            </w:r>
          </w:p>
        </w:tc>
      </w:tr>
      <w:tr>
        <w:tc>
          <w:tcPr>
            <w:tcW w:type="dxa" w:w="2088"/>
            <w:vAlign w:val="top"/>
            <w:shd w:fill="F1F5FA"/>
          </w:tcPr>
          <w:p>
            <w:pPr>
              <w:spacing w:after="20" w:before="20"/>
            </w:pPr>
            <w:r>
              <w:rPr>
                <w:sz w:val="16"/>
              </w:rPr>
              <w:t>BRW-004</w:t>
            </w:r>
          </w:p>
        </w:tc>
        <w:tc>
          <w:tcPr>
            <w:tcW w:type="dxa" w:w="4464"/>
            <w:vAlign w:val="top"/>
            <w:shd w:fill="F1F5FA"/>
          </w:tcPr>
          <w:p>
            <w:pPr>
              <w:spacing w:after="20" w:before="20"/>
            </w:pPr>
            <w:r>
              <w:rPr>
                <w:sz w:val="16"/>
              </w:rPr>
              <w:t>BRW-AT-12,23</w:t>
            </w:r>
          </w:p>
        </w:tc>
        <w:tc>
          <w:tcPr>
            <w:tcW w:type="dxa" w:w="3888"/>
            <w:vAlign w:val="top"/>
            <w:shd w:fill="F1F5FA"/>
          </w:tcPr>
          <w:p>
            <w:pPr>
              <w:spacing w:after="20" w:before="20"/>
            </w:pPr>
            <w:r>
              <w:rPr>
                <w:sz w:val="16"/>
              </w:rPr>
              <w:t>Environment</w:t>
            </w:r>
          </w:p>
        </w:tc>
      </w:tr>
      <w:tr>
        <w:tc>
          <w:tcPr>
            <w:tcW w:type="dxa" w:w="2088"/>
            <w:vAlign w:val="top"/>
          </w:tcPr>
          <w:p>
            <w:pPr>
              <w:spacing w:after="20" w:before="20"/>
            </w:pPr>
            <w:r>
              <w:rPr>
                <w:sz w:val="16"/>
              </w:rPr>
              <w:t>BRW-005</w:t>
            </w:r>
          </w:p>
        </w:tc>
        <w:tc>
          <w:tcPr>
            <w:tcW w:type="dxa" w:w="4464"/>
            <w:vAlign w:val="top"/>
          </w:tcPr>
          <w:p>
            <w:pPr>
              <w:spacing w:after="20" w:before="20"/>
            </w:pPr>
            <w:r>
              <w:rPr>
                <w:sz w:val="16"/>
              </w:rPr>
              <w:t>BRW-AT-08,16,26</w:t>
            </w:r>
          </w:p>
        </w:tc>
        <w:tc>
          <w:tcPr>
            <w:tcW w:type="dxa" w:w="3888"/>
            <w:vAlign w:val="top"/>
          </w:tcPr>
          <w:p>
            <w:pPr>
              <w:spacing w:after="20" w:before="20"/>
            </w:pPr>
            <w:r>
              <w:rPr>
                <w:sz w:val="16"/>
              </w:rPr>
              <w:t>Environment</w:t>
            </w:r>
          </w:p>
        </w:tc>
      </w:tr>
      <w:tr>
        <w:tc>
          <w:tcPr>
            <w:tcW w:type="dxa" w:w="2088"/>
            <w:vAlign w:val="top"/>
            <w:shd w:fill="F1F5FA"/>
          </w:tcPr>
          <w:p>
            <w:pPr>
              <w:spacing w:after="20" w:before="20"/>
            </w:pPr>
            <w:r>
              <w:rPr>
                <w:sz w:val="16"/>
              </w:rPr>
              <w:t>BRW-006</w:t>
            </w:r>
          </w:p>
        </w:tc>
        <w:tc>
          <w:tcPr>
            <w:tcW w:type="dxa" w:w="4464"/>
            <w:vAlign w:val="top"/>
            <w:shd w:fill="F1F5FA"/>
          </w:tcPr>
          <w:p>
            <w:pPr>
              <w:spacing w:after="20" w:before="20"/>
            </w:pPr>
            <w:r>
              <w:rPr>
                <w:sz w:val="16"/>
              </w:rPr>
              <w:t>BRW-AT-10,22</w:t>
            </w:r>
          </w:p>
        </w:tc>
        <w:tc>
          <w:tcPr>
            <w:tcW w:type="dxa" w:w="3888"/>
            <w:vAlign w:val="top"/>
            <w:shd w:fill="F1F5FA"/>
          </w:tcPr>
          <w:p>
            <w:pPr>
              <w:spacing w:after="20" w:before="20"/>
            </w:pPr>
            <w:r>
              <w:rPr>
                <w:sz w:val="16"/>
              </w:rPr>
              <w:t>Environment</w:t>
            </w:r>
          </w:p>
        </w:tc>
      </w:tr>
      <w:tr>
        <w:tc>
          <w:tcPr>
            <w:tcW w:type="dxa" w:w="2088"/>
            <w:vAlign w:val="top"/>
          </w:tcPr>
          <w:p>
            <w:pPr>
              <w:spacing w:after="20" w:before="20"/>
            </w:pPr>
            <w:r>
              <w:rPr>
                <w:sz w:val="16"/>
              </w:rPr>
              <w:t>BRW-007</w:t>
            </w:r>
          </w:p>
        </w:tc>
        <w:tc>
          <w:tcPr>
            <w:tcW w:type="dxa" w:w="4464"/>
            <w:vAlign w:val="top"/>
          </w:tcPr>
          <w:p>
            <w:pPr>
              <w:spacing w:after="20" w:before="20"/>
            </w:pPr>
            <w:r>
              <w:rPr>
                <w:sz w:val="16"/>
              </w:rPr>
              <w:t>BRW-AT-01,02</w:t>
            </w:r>
          </w:p>
        </w:tc>
        <w:tc>
          <w:tcPr>
            <w:tcW w:type="dxa" w:w="3888"/>
            <w:vAlign w:val="top"/>
          </w:tcPr>
          <w:p>
            <w:pPr>
              <w:spacing w:after="20" w:before="20"/>
            </w:pPr>
            <w:r>
              <w:rPr>
                <w:sz w:val="16"/>
              </w:rPr>
              <w:t>Environment</w:t>
            </w:r>
          </w:p>
        </w:tc>
      </w:tr>
      <w:tr>
        <w:tc>
          <w:tcPr>
            <w:tcW w:type="dxa" w:w="2088"/>
            <w:vAlign w:val="top"/>
            <w:shd w:fill="F1F5FA"/>
          </w:tcPr>
          <w:p>
            <w:pPr>
              <w:spacing w:after="20" w:before="20"/>
            </w:pPr>
            <w:r>
              <w:rPr>
                <w:sz w:val="16"/>
              </w:rPr>
              <w:t>BRW-008</w:t>
            </w:r>
          </w:p>
        </w:tc>
        <w:tc>
          <w:tcPr>
            <w:tcW w:type="dxa" w:w="4464"/>
            <w:vAlign w:val="top"/>
            <w:shd w:fill="F1F5FA"/>
          </w:tcPr>
          <w:p>
            <w:pPr>
              <w:spacing w:after="20" w:before="20"/>
            </w:pPr>
            <w:r>
              <w:rPr>
                <w:sz w:val="16"/>
              </w:rPr>
              <w:t>BRW-AT-08,28</w:t>
            </w:r>
          </w:p>
        </w:tc>
        <w:tc>
          <w:tcPr>
            <w:tcW w:type="dxa" w:w="3888"/>
            <w:vAlign w:val="top"/>
            <w:shd w:fill="F1F5FA"/>
          </w:tcPr>
          <w:p>
            <w:pPr>
              <w:spacing w:after="20" w:before="20"/>
            </w:pPr>
            <w:r>
              <w:rPr>
                <w:sz w:val="16"/>
              </w:rPr>
              <w:t>Environment</w:t>
            </w:r>
          </w:p>
        </w:tc>
      </w:tr>
      <w:tr>
        <w:tc>
          <w:tcPr>
            <w:tcW w:type="dxa" w:w="2088"/>
            <w:vAlign w:val="top"/>
          </w:tcPr>
          <w:p>
            <w:pPr>
              <w:spacing w:after="20" w:before="20"/>
            </w:pPr>
            <w:r>
              <w:rPr>
                <w:sz w:val="16"/>
              </w:rPr>
              <w:t>DOM-001</w:t>
            </w:r>
          </w:p>
        </w:tc>
        <w:tc>
          <w:tcPr>
            <w:tcW w:type="dxa" w:w="4464"/>
            <w:vAlign w:val="top"/>
          </w:tcPr>
          <w:p>
            <w:pPr>
              <w:spacing w:after="20" w:before="20"/>
            </w:pPr>
            <w:r>
              <w:rPr>
                <w:sz w:val="16"/>
              </w:rPr>
              <w:t>BRW-AT-01,02</w:t>
            </w:r>
          </w:p>
        </w:tc>
        <w:tc>
          <w:tcPr>
            <w:tcW w:type="dxa" w:w="3888"/>
            <w:vAlign w:val="top"/>
          </w:tcPr>
          <w:p>
            <w:pPr>
              <w:spacing w:after="20" w:before="20"/>
            </w:pPr>
            <w:r>
              <w:rPr>
                <w:sz w:val="16"/>
              </w:rPr>
              <w:t>Target/DOM</w:t>
            </w:r>
          </w:p>
        </w:tc>
      </w:tr>
      <w:tr>
        <w:tc>
          <w:tcPr>
            <w:tcW w:type="dxa" w:w="2088"/>
            <w:vAlign w:val="top"/>
            <w:shd w:fill="F1F5FA"/>
          </w:tcPr>
          <w:p>
            <w:pPr>
              <w:spacing w:after="20" w:before="20"/>
            </w:pPr>
            <w:r>
              <w:rPr>
                <w:sz w:val="16"/>
              </w:rPr>
              <w:t>DOM-002</w:t>
            </w:r>
          </w:p>
        </w:tc>
        <w:tc>
          <w:tcPr>
            <w:tcW w:type="dxa" w:w="4464"/>
            <w:vAlign w:val="top"/>
            <w:shd w:fill="F1F5FA"/>
          </w:tcPr>
          <w:p>
            <w:pPr>
              <w:spacing w:after="20" w:before="20"/>
            </w:pPr>
            <w:r>
              <w:rPr>
                <w:sz w:val="16"/>
              </w:rPr>
              <w:t>BRW-AT-01,21</w:t>
            </w:r>
          </w:p>
        </w:tc>
        <w:tc>
          <w:tcPr>
            <w:tcW w:type="dxa" w:w="3888"/>
            <w:vAlign w:val="top"/>
            <w:shd w:fill="F1F5FA"/>
          </w:tcPr>
          <w:p>
            <w:pPr>
              <w:spacing w:after="20" w:before="20"/>
            </w:pPr>
            <w:r>
              <w:rPr>
                <w:sz w:val="16"/>
              </w:rPr>
              <w:t>Target/DOM</w:t>
            </w:r>
          </w:p>
        </w:tc>
      </w:tr>
      <w:tr>
        <w:tc>
          <w:tcPr>
            <w:tcW w:type="dxa" w:w="2088"/>
            <w:vAlign w:val="top"/>
          </w:tcPr>
          <w:p>
            <w:pPr>
              <w:spacing w:after="20" w:before="20"/>
            </w:pPr>
            <w:r>
              <w:rPr>
                <w:sz w:val="16"/>
              </w:rPr>
              <w:t>DOM-003</w:t>
            </w:r>
          </w:p>
        </w:tc>
        <w:tc>
          <w:tcPr>
            <w:tcW w:type="dxa" w:w="4464"/>
            <w:vAlign w:val="top"/>
          </w:tcPr>
          <w:p>
            <w:pPr>
              <w:spacing w:after="20" w:before="20"/>
            </w:pPr>
            <w:r>
              <w:rPr>
                <w:sz w:val="16"/>
              </w:rPr>
              <w:t>BRW-AT-03</w:t>
            </w:r>
          </w:p>
        </w:tc>
        <w:tc>
          <w:tcPr>
            <w:tcW w:type="dxa" w:w="3888"/>
            <w:vAlign w:val="top"/>
          </w:tcPr>
          <w:p>
            <w:pPr>
              <w:spacing w:after="20" w:before="20"/>
            </w:pPr>
            <w:r>
              <w:rPr>
                <w:sz w:val="16"/>
              </w:rPr>
              <w:t>Target/DOM</w:t>
            </w:r>
          </w:p>
        </w:tc>
      </w:tr>
      <w:tr>
        <w:tc>
          <w:tcPr>
            <w:tcW w:type="dxa" w:w="2088"/>
            <w:vAlign w:val="top"/>
            <w:shd w:fill="F1F5FA"/>
          </w:tcPr>
          <w:p>
            <w:pPr>
              <w:spacing w:after="20" w:before="20"/>
            </w:pPr>
            <w:r>
              <w:rPr>
                <w:sz w:val="16"/>
              </w:rPr>
              <w:t>DOM-004</w:t>
            </w:r>
          </w:p>
        </w:tc>
        <w:tc>
          <w:tcPr>
            <w:tcW w:type="dxa" w:w="4464"/>
            <w:vAlign w:val="top"/>
            <w:shd w:fill="F1F5FA"/>
          </w:tcPr>
          <w:p>
            <w:pPr>
              <w:spacing w:after="20" w:before="20"/>
            </w:pPr>
            <w:r>
              <w:rPr>
                <w:sz w:val="16"/>
              </w:rPr>
              <w:t>BRW-AT-04</w:t>
            </w:r>
          </w:p>
        </w:tc>
        <w:tc>
          <w:tcPr>
            <w:tcW w:type="dxa" w:w="3888"/>
            <w:vAlign w:val="top"/>
            <w:shd w:fill="F1F5FA"/>
          </w:tcPr>
          <w:p>
            <w:pPr>
              <w:spacing w:after="20" w:before="20"/>
            </w:pPr>
            <w:r>
              <w:rPr>
                <w:sz w:val="16"/>
              </w:rPr>
              <w:t>Target/DOM</w:t>
            </w:r>
          </w:p>
        </w:tc>
      </w:tr>
      <w:tr>
        <w:tc>
          <w:tcPr>
            <w:tcW w:type="dxa" w:w="2088"/>
            <w:vAlign w:val="top"/>
          </w:tcPr>
          <w:p>
            <w:pPr>
              <w:spacing w:after="20" w:before="20"/>
            </w:pPr>
            <w:r>
              <w:rPr>
                <w:sz w:val="16"/>
              </w:rPr>
              <w:t>DOM-005</w:t>
            </w:r>
          </w:p>
        </w:tc>
        <w:tc>
          <w:tcPr>
            <w:tcW w:type="dxa" w:w="4464"/>
            <w:vAlign w:val="top"/>
          </w:tcPr>
          <w:p>
            <w:pPr>
              <w:spacing w:after="20" w:before="20"/>
            </w:pPr>
            <w:r>
              <w:rPr>
                <w:sz w:val="16"/>
              </w:rPr>
              <w:t>BRW-AT-02,08</w:t>
            </w:r>
          </w:p>
        </w:tc>
        <w:tc>
          <w:tcPr>
            <w:tcW w:type="dxa" w:w="3888"/>
            <w:vAlign w:val="top"/>
          </w:tcPr>
          <w:p>
            <w:pPr>
              <w:spacing w:after="20" w:before="20"/>
            </w:pPr>
            <w:r>
              <w:rPr>
                <w:sz w:val="16"/>
              </w:rPr>
              <w:t>Target/DOM</w:t>
            </w:r>
          </w:p>
        </w:tc>
      </w:tr>
      <w:tr>
        <w:tc>
          <w:tcPr>
            <w:tcW w:type="dxa" w:w="2088"/>
            <w:vAlign w:val="top"/>
            <w:shd w:fill="F1F5FA"/>
          </w:tcPr>
          <w:p>
            <w:pPr>
              <w:spacing w:after="20" w:before="20"/>
            </w:pPr>
            <w:r>
              <w:rPr>
                <w:sz w:val="16"/>
              </w:rPr>
              <w:t>DOM-006</w:t>
            </w:r>
          </w:p>
        </w:tc>
        <w:tc>
          <w:tcPr>
            <w:tcW w:type="dxa" w:w="4464"/>
            <w:vAlign w:val="top"/>
            <w:shd w:fill="F1F5FA"/>
          </w:tcPr>
          <w:p>
            <w:pPr>
              <w:spacing w:after="20" w:before="20"/>
            </w:pPr>
            <w:r>
              <w:rPr>
                <w:sz w:val="16"/>
              </w:rPr>
              <w:t>BRW-AT-02,23</w:t>
            </w:r>
          </w:p>
        </w:tc>
        <w:tc>
          <w:tcPr>
            <w:tcW w:type="dxa" w:w="3888"/>
            <w:vAlign w:val="top"/>
            <w:shd w:fill="F1F5FA"/>
          </w:tcPr>
          <w:p>
            <w:pPr>
              <w:spacing w:after="20" w:before="20"/>
            </w:pPr>
            <w:r>
              <w:rPr>
                <w:sz w:val="16"/>
              </w:rPr>
              <w:t>Target/DOM</w:t>
            </w:r>
          </w:p>
        </w:tc>
      </w:tr>
      <w:tr>
        <w:tc>
          <w:tcPr>
            <w:tcW w:type="dxa" w:w="2088"/>
            <w:vAlign w:val="top"/>
          </w:tcPr>
          <w:p>
            <w:pPr>
              <w:spacing w:after="20" w:before="20"/>
            </w:pPr>
            <w:r>
              <w:rPr>
                <w:sz w:val="16"/>
              </w:rPr>
              <w:t>DOM-007</w:t>
            </w:r>
          </w:p>
        </w:tc>
        <w:tc>
          <w:tcPr>
            <w:tcW w:type="dxa" w:w="4464"/>
            <w:vAlign w:val="top"/>
          </w:tcPr>
          <w:p>
            <w:pPr>
              <w:spacing w:after="20" w:before="20"/>
            </w:pPr>
            <w:r>
              <w:rPr>
                <w:sz w:val="16"/>
              </w:rPr>
              <w:t>BRW-AT-01,05</w:t>
            </w:r>
          </w:p>
        </w:tc>
        <w:tc>
          <w:tcPr>
            <w:tcW w:type="dxa" w:w="3888"/>
            <w:vAlign w:val="top"/>
          </w:tcPr>
          <w:p>
            <w:pPr>
              <w:spacing w:after="20" w:before="20"/>
            </w:pPr>
            <w:r>
              <w:rPr>
                <w:sz w:val="16"/>
              </w:rPr>
              <w:t>Target/DOM</w:t>
            </w:r>
          </w:p>
        </w:tc>
      </w:tr>
      <w:tr>
        <w:tc>
          <w:tcPr>
            <w:tcW w:type="dxa" w:w="2088"/>
            <w:vAlign w:val="top"/>
            <w:shd w:fill="F1F5FA"/>
          </w:tcPr>
          <w:p>
            <w:pPr>
              <w:spacing w:after="20" w:before="20"/>
            </w:pPr>
            <w:r>
              <w:rPr>
                <w:sz w:val="16"/>
              </w:rPr>
              <w:t>DOM-008</w:t>
            </w:r>
          </w:p>
        </w:tc>
        <w:tc>
          <w:tcPr>
            <w:tcW w:type="dxa" w:w="4464"/>
            <w:vAlign w:val="top"/>
            <w:shd w:fill="F1F5FA"/>
          </w:tcPr>
          <w:p>
            <w:pPr>
              <w:spacing w:after="20" w:before="20"/>
            </w:pPr>
            <w:r>
              <w:rPr>
                <w:sz w:val="16"/>
              </w:rPr>
              <w:t>BRW-AT-14,20</w:t>
            </w:r>
          </w:p>
        </w:tc>
        <w:tc>
          <w:tcPr>
            <w:tcW w:type="dxa" w:w="3888"/>
            <w:vAlign w:val="top"/>
            <w:shd w:fill="F1F5FA"/>
          </w:tcPr>
          <w:p>
            <w:pPr>
              <w:spacing w:after="20" w:before="20"/>
            </w:pPr>
            <w:r>
              <w:rPr>
                <w:sz w:val="16"/>
              </w:rPr>
              <w:t>Target/DOM</w:t>
            </w:r>
          </w:p>
        </w:tc>
      </w:tr>
      <w:tr>
        <w:tc>
          <w:tcPr>
            <w:tcW w:type="dxa" w:w="2088"/>
            <w:vAlign w:val="top"/>
          </w:tcPr>
          <w:p>
            <w:pPr>
              <w:spacing w:after="20" w:before="20"/>
            </w:pPr>
            <w:r>
              <w:rPr>
                <w:sz w:val="16"/>
              </w:rPr>
              <w:t>DOM-009</w:t>
            </w:r>
          </w:p>
        </w:tc>
        <w:tc>
          <w:tcPr>
            <w:tcW w:type="dxa" w:w="4464"/>
            <w:vAlign w:val="top"/>
          </w:tcPr>
          <w:p>
            <w:pPr>
              <w:spacing w:after="20" w:before="20"/>
            </w:pPr>
            <w:r>
              <w:rPr>
                <w:sz w:val="16"/>
              </w:rPr>
              <w:t>BRW-AT-17,26</w:t>
            </w:r>
          </w:p>
        </w:tc>
        <w:tc>
          <w:tcPr>
            <w:tcW w:type="dxa" w:w="3888"/>
            <w:vAlign w:val="top"/>
          </w:tcPr>
          <w:p>
            <w:pPr>
              <w:spacing w:after="20" w:before="20"/>
            </w:pPr>
            <w:r>
              <w:rPr>
                <w:sz w:val="16"/>
              </w:rPr>
              <w:t>Target/DOM</w:t>
            </w:r>
          </w:p>
        </w:tc>
      </w:tr>
      <w:tr>
        <w:tc>
          <w:tcPr>
            <w:tcW w:type="dxa" w:w="2088"/>
            <w:vAlign w:val="top"/>
            <w:shd w:fill="F1F5FA"/>
          </w:tcPr>
          <w:p>
            <w:pPr>
              <w:spacing w:after="20" w:before="20"/>
            </w:pPr>
            <w:r>
              <w:rPr>
                <w:sz w:val="16"/>
              </w:rPr>
              <w:t>WEB-001</w:t>
            </w:r>
          </w:p>
        </w:tc>
        <w:tc>
          <w:tcPr>
            <w:tcW w:type="dxa" w:w="4464"/>
            <w:vAlign w:val="top"/>
            <w:shd w:fill="F1F5FA"/>
          </w:tcPr>
          <w:p>
            <w:pPr>
              <w:spacing w:after="20" w:before="20"/>
            </w:pPr>
            <w:r>
              <w:rPr>
                <w:sz w:val="16"/>
              </w:rPr>
              <w:t>BRW-AT-01,02</w:t>
            </w:r>
          </w:p>
        </w:tc>
        <w:tc>
          <w:tcPr>
            <w:tcW w:type="dxa" w:w="3888"/>
            <w:vAlign w:val="top"/>
            <w:shd w:fill="F1F5FA"/>
          </w:tcPr>
          <w:p>
            <w:pPr>
              <w:spacing w:after="20" w:before="20"/>
            </w:pPr>
            <w:r>
              <w:rPr>
                <w:sz w:val="16"/>
              </w:rPr>
              <w:t>Interaction/streams</w:t>
            </w:r>
          </w:p>
        </w:tc>
      </w:tr>
      <w:tr>
        <w:tc>
          <w:tcPr>
            <w:tcW w:type="dxa" w:w="2088"/>
            <w:vAlign w:val="top"/>
          </w:tcPr>
          <w:p>
            <w:pPr>
              <w:spacing w:after="20" w:before="20"/>
            </w:pPr>
            <w:r>
              <w:rPr>
                <w:sz w:val="16"/>
              </w:rPr>
              <w:t>WEB-002</w:t>
            </w:r>
          </w:p>
        </w:tc>
        <w:tc>
          <w:tcPr>
            <w:tcW w:type="dxa" w:w="4464"/>
            <w:vAlign w:val="top"/>
          </w:tcPr>
          <w:p>
            <w:pPr>
              <w:spacing w:after="20" w:before="20"/>
            </w:pPr>
            <w:r>
              <w:rPr>
                <w:sz w:val="16"/>
              </w:rPr>
              <w:t>BRW-AT-01</w:t>
            </w:r>
          </w:p>
        </w:tc>
        <w:tc>
          <w:tcPr>
            <w:tcW w:type="dxa" w:w="3888"/>
            <w:vAlign w:val="top"/>
          </w:tcPr>
          <w:p>
            <w:pPr>
              <w:spacing w:after="20" w:before="20"/>
            </w:pPr>
            <w:r>
              <w:rPr>
                <w:sz w:val="16"/>
              </w:rPr>
              <w:t>Interaction/streams</w:t>
            </w:r>
          </w:p>
        </w:tc>
      </w:tr>
      <w:tr>
        <w:tc>
          <w:tcPr>
            <w:tcW w:type="dxa" w:w="2088"/>
            <w:vAlign w:val="top"/>
            <w:shd w:fill="F1F5FA"/>
          </w:tcPr>
          <w:p>
            <w:pPr>
              <w:spacing w:after="20" w:before="20"/>
            </w:pPr>
            <w:r>
              <w:rPr>
                <w:sz w:val="16"/>
              </w:rPr>
              <w:t>WEB-003</w:t>
            </w:r>
          </w:p>
        </w:tc>
        <w:tc>
          <w:tcPr>
            <w:tcW w:type="dxa" w:w="4464"/>
            <w:vAlign w:val="top"/>
            <w:shd w:fill="F1F5FA"/>
          </w:tcPr>
          <w:p>
            <w:pPr>
              <w:spacing w:after="20" w:before="20"/>
            </w:pPr>
            <w:r>
              <w:rPr>
                <w:sz w:val="16"/>
              </w:rPr>
              <w:t>BRW-AT-01,05</w:t>
            </w:r>
          </w:p>
        </w:tc>
        <w:tc>
          <w:tcPr>
            <w:tcW w:type="dxa" w:w="3888"/>
            <w:vAlign w:val="top"/>
            <w:shd w:fill="F1F5FA"/>
          </w:tcPr>
          <w:p>
            <w:pPr>
              <w:spacing w:after="20" w:before="20"/>
            </w:pPr>
            <w:r>
              <w:rPr>
                <w:sz w:val="16"/>
              </w:rPr>
              <w:t>Interaction/streams</w:t>
            </w:r>
          </w:p>
        </w:tc>
      </w:tr>
      <w:tr>
        <w:tc>
          <w:tcPr>
            <w:tcW w:type="dxa" w:w="2088"/>
            <w:vAlign w:val="top"/>
          </w:tcPr>
          <w:p>
            <w:pPr>
              <w:spacing w:after="20" w:before="20"/>
            </w:pPr>
            <w:r>
              <w:rPr>
                <w:sz w:val="16"/>
              </w:rPr>
              <w:t>WEB-004</w:t>
            </w:r>
          </w:p>
        </w:tc>
        <w:tc>
          <w:tcPr>
            <w:tcW w:type="dxa" w:w="4464"/>
            <w:vAlign w:val="top"/>
          </w:tcPr>
          <w:p>
            <w:pPr>
              <w:spacing w:after="20" w:before="20"/>
            </w:pPr>
            <w:r>
              <w:rPr>
                <w:sz w:val="16"/>
              </w:rPr>
              <w:t>BRW-AT-05</w:t>
            </w:r>
          </w:p>
        </w:tc>
        <w:tc>
          <w:tcPr>
            <w:tcW w:type="dxa" w:w="3888"/>
            <w:vAlign w:val="top"/>
          </w:tcPr>
          <w:p>
            <w:pPr>
              <w:spacing w:after="20" w:before="20"/>
            </w:pPr>
            <w:r>
              <w:rPr>
                <w:sz w:val="16"/>
              </w:rPr>
              <w:t>Interaction/streams</w:t>
            </w:r>
          </w:p>
        </w:tc>
      </w:tr>
      <w:tr>
        <w:tc>
          <w:tcPr>
            <w:tcW w:type="dxa" w:w="2088"/>
            <w:vAlign w:val="top"/>
            <w:shd w:fill="F1F5FA"/>
          </w:tcPr>
          <w:p>
            <w:pPr>
              <w:spacing w:after="20" w:before="20"/>
            </w:pPr>
            <w:r>
              <w:rPr>
                <w:sz w:val="16"/>
              </w:rPr>
              <w:t>WEB-005</w:t>
            </w:r>
          </w:p>
        </w:tc>
        <w:tc>
          <w:tcPr>
            <w:tcW w:type="dxa" w:w="4464"/>
            <w:vAlign w:val="top"/>
            <w:shd w:fill="F1F5FA"/>
          </w:tcPr>
          <w:p>
            <w:pPr>
              <w:spacing w:after="20" w:before="20"/>
            </w:pPr>
            <w:r>
              <w:rPr>
                <w:sz w:val="16"/>
              </w:rPr>
              <w:t>BRW-AT-05,09</w:t>
            </w:r>
          </w:p>
        </w:tc>
        <w:tc>
          <w:tcPr>
            <w:tcW w:type="dxa" w:w="3888"/>
            <w:vAlign w:val="top"/>
            <w:shd w:fill="F1F5FA"/>
          </w:tcPr>
          <w:p>
            <w:pPr>
              <w:spacing w:after="20" w:before="20"/>
            </w:pPr>
            <w:r>
              <w:rPr>
                <w:sz w:val="16"/>
              </w:rPr>
              <w:t>Interaction/streams</w:t>
            </w:r>
          </w:p>
        </w:tc>
      </w:tr>
      <w:tr>
        <w:tc>
          <w:tcPr>
            <w:tcW w:type="dxa" w:w="2088"/>
            <w:vAlign w:val="top"/>
          </w:tcPr>
          <w:p>
            <w:pPr>
              <w:spacing w:after="20" w:before="20"/>
            </w:pPr>
            <w:r>
              <w:rPr>
                <w:sz w:val="16"/>
              </w:rPr>
              <w:t>WEB-006</w:t>
            </w:r>
          </w:p>
        </w:tc>
        <w:tc>
          <w:tcPr>
            <w:tcW w:type="dxa" w:w="4464"/>
            <w:vAlign w:val="top"/>
          </w:tcPr>
          <w:p>
            <w:pPr>
              <w:spacing w:after="20" w:before="20"/>
            </w:pPr>
            <w:r>
              <w:rPr>
                <w:sz w:val="16"/>
              </w:rPr>
              <w:t>BRW-AT-07</w:t>
            </w:r>
          </w:p>
        </w:tc>
        <w:tc>
          <w:tcPr>
            <w:tcW w:type="dxa" w:w="3888"/>
            <w:vAlign w:val="top"/>
          </w:tcPr>
          <w:p>
            <w:pPr>
              <w:spacing w:after="20" w:before="20"/>
            </w:pPr>
            <w:r>
              <w:rPr>
                <w:sz w:val="16"/>
              </w:rPr>
              <w:t>Interaction/streams</w:t>
            </w:r>
          </w:p>
        </w:tc>
      </w:tr>
      <w:tr>
        <w:tc>
          <w:tcPr>
            <w:tcW w:type="dxa" w:w="2088"/>
            <w:vAlign w:val="top"/>
            <w:shd w:fill="F1F5FA"/>
          </w:tcPr>
          <w:p>
            <w:pPr>
              <w:spacing w:after="20" w:before="20"/>
            </w:pPr>
            <w:r>
              <w:rPr>
                <w:sz w:val="16"/>
              </w:rPr>
              <w:t>WEB-007</w:t>
            </w:r>
          </w:p>
        </w:tc>
        <w:tc>
          <w:tcPr>
            <w:tcW w:type="dxa" w:w="4464"/>
            <w:vAlign w:val="top"/>
            <w:shd w:fill="F1F5FA"/>
          </w:tcPr>
          <w:p>
            <w:pPr>
              <w:spacing w:after="20" w:before="20"/>
            </w:pPr>
            <w:r>
              <w:rPr>
                <w:sz w:val="16"/>
              </w:rPr>
              <w:t>BRW-AT-06,15</w:t>
            </w:r>
          </w:p>
        </w:tc>
        <w:tc>
          <w:tcPr>
            <w:tcW w:type="dxa" w:w="3888"/>
            <w:vAlign w:val="top"/>
            <w:shd w:fill="F1F5FA"/>
          </w:tcPr>
          <w:p>
            <w:pPr>
              <w:spacing w:after="20" w:before="20"/>
            </w:pPr>
            <w:r>
              <w:rPr>
                <w:sz w:val="16"/>
              </w:rPr>
              <w:t>Interaction/streams</w:t>
            </w:r>
          </w:p>
        </w:tc>
      </w:tr>
      <w:tr>
        <w:tc>
          <w:tcPr>
            <w:tcW w:type="dxa" w:w="2088"/>
            <w:vAlign w:val="top"/>
          </w:tcPr>
          <w:p>
            <w:pPr>
              <w:spacing w:after="20" w:before="20"/>
            </w:pPr>
            <w:r>
              <w:rPr>
                <w:sz w:val="16"/>
              </w:rPr>
              <w:t>WEB-008</w:t>
            </w:r>
          </w:p>
        </w:tc>
        <w:tc>
          <w:tcPr>
            <w:tcW w:type="dxa" w:w="4464"/>
            <w:vAlign w:val="top"/>
          </w:tcPr>
          <w:p>
            <w:pPr>
              <w:spacing w:after="20" w:before="20"/>
            </w:pPr>
            <w:r>
              <w:rPr>
                <w:sz w:val="16"/>
              </w:rPr>
              <w:t>BRW-AT-13,18,27</w:t>
            </w:r>
          </w:p>
        </w:tc>
        <w:tc>
          <w:tcPr>
            <w:tcW w:type="dxa" w:w="3888"/>
            <w:vAlign w:val="top"/>
          </w:tcPr>
          <w:p>
            <w:pPr>
              <w:spacing w:after="20" w:before="20"/>
            </w:pPr>
            <w:r>
              <w:rPr>
                <w:sz w:val="16"/>
              </w:rPr>
              <w:t>Interaction/streams</w:t>
            </w:r>
          </w:p>
        </w:tc>
      </w:tr>
      <w:tr>
        <w:tc>
          <w:tcPr>
            <w:tcW w:type="dxa" w:w="2088"/>
            <w:vAlign w:val="top"/>
            <w:shd w:fill="F1F5FA"/>
          </w:tcPr>
          <w:p>
            <w:pPr>
              <w:spacing w:after="20" w:before="20"/>
            </w:pPr>
            <w:r>
              <w:rPr>
                <w:sz w:val="16"/>
              </w:rPr>
              <w:t>WEB-009</w:t>
            </w:r>
          </w:p>
        </w:tc>
        <w:tc>
          <w:tcPr>
            <w:tcW w:type="dxa" w:w="4464"/>
            <w:vAlign w:val="top"/>
            <w:shd w:fill="F1F5FA"/>
          </w:tcPr>
          <w:p>
            <w:pPr>
              <w:spacing w:after="20" w:before="20"/>
            </w:pPr>
            <w:r>
              <w:rPr>
                <w:sz w:val="16"/>
              </w:rPr>
              <w:t>BRW-AT-09,27</w:t>
            </w:r>
          </w:p>
        </w:tc>
        <w:tc>
          <w:tcPr>
            <w:tcW w:type="dxa" w:w="3888"/>
            <w:vAlign w:val="top"/>
            <w:shd w:fill="F1F5FA"/>
          </w:tcPr>
          <w:p>
            <w:pPr>
              <w:spacing w:after="20" w:before="20"/>
            </w:pPr>
            <w:r>
              <w:rPr>
                <w:sz w:val="16"/>
              </w:rPr>
              <w:t>Interaction/streams</w:t>
            </w:r>
          </w:p>
        </w:tc>
      </w:tr>
      <w:tr>
        <w:tc>
          <w:tcPr>
            <w:tcW w:type="dxa" w:w="2088"/>
            <w:vAlign w:val="top"/>
          </w:tcPr>
          <w:p>
            <w:pPr>
              <w:spacing w:after="20" w:before="20"/>
            </w:pPr>
            <w:r>
              <w:rPr>
                <w:sz w:val="16"/>
              </w:rPr>
              <w:t>WEB-010</w:t>
            </w:r>
          </w:p>
        </w:tc>
        <w:tc>
          <w:tcPr>
            <w:tcW w:type="dxa" w:w="4464"/>
            <w:vAlign w:val="top"/>
          </w:tcPr>
          <w:p>
            <w:pPr>
              <w:spacing w:after="20" w:before="20"/>
            </w:pPr>
            <w:r>
              <w:rPr>
                <w:sz w:val="16"/>
              </w:rPr>
              <w:t>BRW-AT-01,04</w:t>
            </w:r>
          </w:p>
        </w:tc>
        <w:tc>
          <w:tcPr>
            <w:tcW w:type="dxa" w:w="3888"/>
            <w:vAlign w:val="top"/>
          </w:tcPr>
          <w:p>
            <w:pPr>
              <w:spacing w:after="20" w:before="20"/>
            </w:pPr>
            <w:r>
              <w:rPr>
                <w:sz w:val="16"/>
              </w:rPr>
              <w:t>Interaction/streams</w:t>
            </w:r>
          </w:p>
        </w:tc>
      </w:tr>
      <w:tr>
        <w:tc>
          <w:tcPr>
            <w:tcW w:type="dxa" w:w="2088"/>
            <w:vAlign w:val="top"/>
            <w:shd w:fill="F1F5FA"/>
          </w:tcPr>
          <w:p>
            <w:pPr>
              <w:spacing w:after="20" w:before="20"/>
            </w:pPr>
            <w:r>
              <w:rPr>
                <w:sz w:val="16"/>
              </w:rPr>
              <w:t>BRE-001</w:t>
            </w:r>
          </w:p>
        </w:tc>
        <w:tc>
          <w:tcPr>
            <w:tcW w:type="dxa" w:w="4464"/>
            <w:vAlign w:val="top"/>
            <w:shd w:fill="F1F5FA"/>
          </w:tcPr>
          <w:p>
            <w:pPr>
              <w:spacing w:after="20" w:before="20"/>
            </w:pPr>
            <w:r>
              <w:rPr>
                <w:sz w:val="16"/>
              </w:rPr>
              <w:t>BRW-AT-02</w:t>
            </w:r>
          </w:p>
        </w:tc>
        <w:tc>
          <w:tcPr>
            <w:tcW w:type="dxa" w:w="3888"/>
            <w:vAlign w:val="top"/>
            <w:shd w:fill="F1F5FA"/>
          </w:tcPr>
          <w:p>
            <w:pPr>
              <w:spacing w:after="20" w:before="20"/>
            </w:pPr>
            <w:r>
              <w:rPr>
                <w:sz w:val="16"/>
              </w:rPr>
              <w:t>Recovery</w:t>
            </w:r>
          </w:p>
        </w:tc>
      </w:tr>
      <w:tr>
        <w:tc>
          <w:tcPr>
            <w:tcW w:type="dxa" w:w="2088"/>
            <w:vAlign w:val="top"/>
          </w:tcPr>
          <w:p>
            <w:pPr>
              <w:spacing w:after="20" w:before="20"/>
            </w:pPr>
            <w:r>
              <w:rPr>
                <w:sz w:val="16"/>
              </w:rPr>
              <w:t>BRE-002</w:t>
            </w:r>
          </w:p>
        </w:tc>
        <w:tc>
          <w:tcPr>
            <w:tcW w:type="dxa" w:w="4464"/>
            <w:vAlign w:val="top"/>
          </w:tcPr>
          <w:p>
            <w:pPr>
              <w:spacing w:after="20" w:before="20"/>
            </w:pPr>
            <w:r>
              <w:rPr>
                <w:sz w:val="16"/>
              </w:rPr>
              <w:t>BRW-AT-08</w:t>
            </w:r>
          </w:p>
        </w:tc>
        <w:tc>
          <w:tcPr>
            <w:tcW w:type="dxa" w:w="3888"/>
            <w:vAlign w:val="top"/>
          </w:tcPr>
          <w:p>
            <w:pPr>
              <w:spacing w:after="20" w:before="20"/>
            </w:pPr>
            <w:r>
              <w:rPr>
                <w:sz w:val="16"/>
              </w:rPr>
              <w:t>Recovery</w:t>
            </w:r>
          </w:p>
        </w:tc>
      </w:tr>
      <w:tr>
        <w:tc>
          <w:tcPr>
            <w:tcW w:type="dxa" w:w="2088"/>
            <w:vAlign w:val="top"/>
            <w:shd w:fill="F1F5FA"/>
          </w:tcPr>
          <w:p>
            <w:pPr>
              <w:spacing w:after="20" w:before="20"/>
            </w:pPr>
            <w:r>
              <w:rPr>
                <w:sz w:val="16"/>
              </w:rPr>
              <w:t>BRE-003</w:t>
            </w:r>
          </w:p>
        </w:tc>
        <w:tc>
          <w:tcPr>
            <w:tcW w:type="dxa" w:w="4464"/>
            <w:vAlign w:val="top"/>
            <w:shd w:fill="F1F5FA"/>
          </w:tcPr>
          <w:p>
            <w:pPr>
              <w:spacing w:after="20" w:before="20"/>
            </w:pPr>
            <w:r>
              <w:rPr>
                <w:sz w:val="16"/>
              </w:rPr>
              <w:t>BRW-AT-08,23</w:t>
            </w:r>
          </w:p>
        </w:tc>
        <w:tc>
          <w:tcPr>
            <w:tcW w:type="dxa" w:w="3888"/>
            <w:vAlign w:val="top"/>
            <w:shd w:fill="F1F5FA"/>
          </w:tcPr>
          <w:p>
            <w:pPr>
              <w:spacing w:after="20" w:before="20"/>
            </w:pPr>
            <w:r>
              <w:rPr>
                <w:sz w:val="16"/>
              </w:rPr>
              <w:t>Recovery</w:t>
            </w:r>
          </w:p>
        </w:tc>
      </w:tr>
      <w:tr>
        <w:tc>
          <w:tcPr>
            <w:tcW w:type="dxa" w:w="2088"/>
            <w:vAlign w:val="top"/>
          </w:tcPr>
          <w:p>
            <w:pPr>
              <w:spacing w:after="20" w:before="20"/>
            </w:pPr>
            <w:r>
              <w:rPr>
                <w:sz w:val="16"/>
              </w:rPr>
              <w:t>BRE-004</w:t>
            </w:r>
          </w:p>
        </w:tc>
        <w:tc>
          <w:tcPr>
            <w:tcW w:type="dxa" w:w="4464"/>
            <w:vAlign w:val="top"/>
          </w:tcPr>
          <w:p>
            <w:pPr>
              <w:spacing w:after="20" w:before="20"/>
            </w:pPr>
            <w:r>
              <w:rPr>
                <w:sz w:val="16"/>
              </w:rPr>
              <w:t>BRW-AT-12,23</w:t>
            </w:r>
          </w:p>
        </w:tc>
        <w:tc>
          <w:tcPr>
            <w:tcW w:type="dxa" w:w="3888"/>
            <w:vAlign w:val="top"/>
          </w:tcPr>
          <w:p>
            <w:pPr>
              <w:spacing w:after="20" w:before="20"/>
            </w:pPr>
            <w:r>
              <w:rPr>
                <w:sz w:val="16"/>
              </w:rPr>
              <w:t>Recovery</w:t>
            </w:r>
          </w:p>
        </w:tc>
      </w:tr>
      <w:tr>
        <w:tc>
          <w:tcPr>
            <w:tcW w:type="dxa" w:w="2088"/>
            <w:vAlign w:val="top"/>
            <w:shd w:fill="F1F5FA"/>
          </w:tcPr>
          <w:p>
            <w:pPr>
              <w:spacing w:after="20" w:before="20"/>
            </w:pPr>
            <w:r>
              <w:rPr>
                <w:sz w:val="16"/>
              </w:rPr>
              <w:t>BRE-005</w:t>
            </w:r>
          </w:p>
        </w:tc>
        <w:tc>
          <w:tcPr>
            <w:tcW w:type="dxa" w:w="4464"/>
            <w:vAlign w:val="top"/>
            <w:shd w:fill="F1F5FA"/>
          </w:tcPr>
          <w:p>
            <w:pPr>
              <w:spacing w:after="20" w:before="20"/>
            </w:pPr>
            <w:r>
              <w:rPr>
                <w:sz w:val="16"/>
              </w:rPr>
              <w:t>BRW-AT-02,23</w:t>
            </w:r>
          </w:p>
        </w:tc>
        <w:tc>
          <w:tcPr>
            <w:tcW w:type="dxa" w:w="3888"/>
            <w:vAlign w:val="top"/>
            <w:shd w:fill="F1F5FA"/>
          </w:tcPr>
          <w:p>
            <w:pPr>
              <w:spacing w:after="20" w:before="20"/>
            </w:pPr>
            <w:r>
              <w:rPr>
                <w:sz w:val="16"/>
              </w:rPr>
              <w:t>Recovery</w:t>
            </w:r>
          </w:p>
        </w:tc>
      </w:tr>
      <w:tr>
        <w:tc>
          <w:tcPr>
            <w:tcW w:type="dxa" w:w="2088"/>
            <w:vAlign w:val="top"/>
          </w:tcPr>
          <w:p>
            <w:pPr>
              <w:spacing w:after="20" w:before="20"/>
            </w:pPr>
            <w:r>
              <w:rPr>
                <w:sz w:val="16"/>
              </w:rPr>
              <w:t>BRE-006</w:t>
            </w:r>
          </w:p>
        </w:tc>
        <w:tc>
          <w:tcPr>
            <w:tcW w:type="dxa" w:w="4464"/>
            <w:vAlign w:val="top"/>
          </w:tcPr>
          <w:p>
            <w:pPr>
              <w:spacing w:after="20" w:before="20"/>
            </w:pPr>
            <w:r>
              <w:rPr>
                <w:sz w:val="16"/>
              </w:rPr>
              <w:t>BRW-AT-18,27</w:t>
            </w:r>
          </w:p>
        </w:tc>
        <w:tc>
          <w:tcPr>
            <w:tcW w:type="dxa" w:w="3888"/>
            <w:vAlign w:val="top"/>
          </w:tcPr>
          <w:p>
            <w:pPr>
              <w:spacing w:after="20" w:before="20"/>
            </w:pPr>
            <w:r>
              <w:rPr>
                <w:sz w:val="16"/>
              </w:rPr>
              <w:t>Recovery</w:t>
            </w:r>
          </w:p>
        </w:tc>
      </w:tr>
      <w:tr>
        <w:tc>
          <w:tcPr>
            <w:tcW w:type="dxa" w:w="2088"/>
            <w:vAlign w:val="top"/>
            <w:shd w:fill="F1F5FA"/>
          </w:tcPr>
          <w:p>
            <w:pPr>
              <w:spacing w:after="20" w:before="20"/>
            </w:pPr>
            <w:r>
              <w:rPr>
                <w:sz w:val="16"/>
              </w:rPr>
              <w:t>BRE-007</w:t>
            </w:r>
          </w:p>
        </w:tc>
        <w:tc>
          <w:tcPr>
            <w:tcW w:type="dxa" w:w="4464"/>
            <w:vAlign w:val="top"/>
            <w:shd w:fill="F1F5FA"/>
          </w:tcPr>
          <w:p>
            <w:pPr>
              <w:spacing w:after="20" w:before="20"/>
            </w:pPr>
            <w:r>
              <w:rPr>
                <w:sz w:val="16"/>
              </w:rPr>
              <w:t>BRW-AT-11,20,24,25</w:t>
            </w:r>
          </w:p>
        </w:tc>
        <w:tc>
          <w:tcPr>
            <w:tcW w:type="dxa" w:w="3888"/>
            <w:vAlign w:val="top"/>
            <w:shd w:fill="F1F5FA"/>
          </w:tcPr>
          <w:p>
            <w:pPr>
              <w:spacing w:after="20" w:before="20"/>
            </w:pPr>
            <w:r>
              <w:rPr>
                <w:sz w:val="16"/>
              </w:rPr>
              <w:t>Recovery</w:t>
            </w:r>
          </w:p>
        </w:tc>
      </w:tr>
      <w:tr>
        <w:tc>
          <w:tcPr>
            <w:tcW w:type="dxa" w:w="2088"/>
            <w:vAlign w:val="top"/>
          </w:tcPr>
          <w:p>
            <w:pPr>
              <w:spacing w:after="20" w:before="20"/>
            </w:pPr>
            <w:r>
              <w:rPr>
                <w:sz w:val="16"/>
              </w:rPr>
              <w:t>BRE-008</w:t>
            </w:r>
          </w:p>
        </w:tc>
        <w:tc>
          <w:tcPr>
            <w:tcW w:type="dxa" w:w="4464"/>
            <w:vAlign w:val="top"/>
          </w:tcPr>
          <w:p>
            <w:pPr>
              <w:spacing w:after="20" w:before="20"/>
            </w:pPr>
            <w:r>
              <w:rPr>
                <w:sz w:val="16"/>
              </w:rPr>
              <w:t>BRW-AT-15,23</w:t>
            </w:r>
          </w:p>
        </w:tc>
        <w:tc>
          <w:tcPr>
            <w:tcW w:type="dxa" w:w="3888"/>
            <w:vAlign w:val="top"/>
          </w:tcPr>
          <w:p>
            <w:pPr>
              <w:spacing w:after="20" w:before="20"/>
            </w:pPr>
            <w:r>
              <w:rPr>
                <w:sz w:val="16"/>
              </w:rPr>
              <w:t>Recovery</w:t>
            </w:r>
          </w:p>
        </w:tc>
      </w:tr>
    </w:tbl>
    <w:p/>
    <w:p>
      <w:pPr>
        <w:pStyle w:val="Heading1"/>
      </w:pPr>
      <w:r>
        <w:t>Appendix E. Independent release and architecture gates</w:t>
      </w:r>
    </w:p>
    <w:tbl>
      <w:tblPr>
        <w:tblStyle w:val="TableGrid"/>
        <w:tblW w:type="auto" w:w="0"/>
        <w:jc w:val="center"/>
        <w:tblLook w:firstColumn="1" w:firstRow="1" w:lastColumn="0" w:lastRow="0" w:noHBand="0" w:noVBand="1" w:val="04A0"/>
      </w:tblPr>
      <w:tblGrid>
        <w:gridCol w:w="4925"/>
        <w:gridCol w:w="4925"/>
      </w:tblGrid>
      <w:tr>
        <w:tc>
          <w:tcPr>
            <w:tcW w:type="dxa" w:w="2592"/>
            <w:shd w:fill="173759"/>
          </w:tcPr>
          <w:p>
            <w:r>
              <w:rPr>
                <w:b/>
                <w:color w:val="FFFFFF"/>
                <w:sz w:val="17"/>
              </w:rPr>
              <w:t>Gate</w:t>
            </w:r>
          </w:p>
        </w:tc>
        <w:tc>
          <w:tcPr>
            <w:tcW w:type="dxa" w:w="7776"/>
            <w:shd w:fill="173759"/>
          </w:tcPr>
          <w:p>
            <w:r>
              <w:rPr>
                <w:b/>
                <w:color w:val="FFFFFF"/>
                <w:sz w:val="17"/>
              </w:rPr>
              <w:t>Exit evidence / restriction</w:t>
            </w:r>
          </w:p>
        </w:tc>
      </w:tr>
      <w:tr>
        <w:tc>
          <w:tcPr>
            <w:tcW w:type="dxa" w:w="2592"/>
            <w:vAlign w:val="top"/>
          </w:tcPr>
          <w:p>
            <w:pPr>
              <w:spacing w:after="20" w:before="20"/>
            </w:pPr>
            <w:r>
              <w:rPr>
                <w:sz w:val="16"/>
              </w:rPr>
              <w:t>Engineering build gate</w:t>
            </w:r>
          </w:p>
        </w:tc>
        <w:tc>
          <w:tcPr>
            <w:tcW w:type="dxa" w:w="7776"/>
            <w:vAlign w:val="top"/>
          </w:tcPr>
          <w:p>
            <w:pPr>
              <w:spacing w:after="20" w:before="20"/>
            </w:pPr>
            <w:r>
              <w:rPr>
                <w:sz w:val="16"/>
              </w:rPr>
              <w:t>Engine binaries build under approved .NET baseline; behavior is deterministic and isolated from other Runtime source trees. No Runtime application needs Desktop or the other parallel track to be completed.</w:t>
            </w:r>
          </w:p>
        </w:tc>
      </w:tr>
      <w:tr>
        <w:tc>
          <w:tcPr>
            <w:tcW w:type="dxa" w:w="2592"/>
            <w:vAlign w:val="top"/>
            <w:shd w:fill="F1F5FA"/>
          </w:tcPr>
          <w:p>
            <w:pPr>
              <w:spacing w:after="20" w:before="20"/>
            </w:pPr>
            <w:r>
              <w:rPr>
                <w:sz w:val="16"/>
              </w:rPr>
              <w:t>Contract gate</w:t>
            </w:r>
          </w:p>
        </w:tc>
        <w:tc>
          <w:tcPr>
            <w:tcW w:type="dxa" w:w="7776"/>
            <w:vAlign w:val="top"/>
            <w:shd w:fill="F1F5FA"/>
          </w:tcPr>
          <w:p>
            <w:pPr>
              <w:spacing w:after="20" w:before="20"/>
            </w:pPr>
            <w:r>
              <w:rPr>
                <w:sz w:val="16"/>
              </w:rPr>
              <w:t>Applicable Stage 1 fixtures (CF-01–CF-10) pass against mock and fake registered service; all five outcomes, cancellation, attempt fencing, unknown handling and signed artifact validation are exercised.</w:t>
            </w:r>
          </w:p>
        </w:tc>
      </w:tr>
      <w:tr>
        <w:tc>
          <w:tcPr>
            <w:tcW w:type="dxa" w:w="2592"/>
            <w:vAlign w:val="top"/>
          </w:tcPr>
          <w:p>
            <w:pPr>
              <w:spacing w:after="20" w:before="20"/>
            </w:pPr>
            <w:r>
              <w:rPr>
                <w:sz w:val="16"/>
              </w:rPr>
              <w:t>Security gate</w:t>
            </w:r>
          </w:p>
        </w:tc>
        <w:tc>
          <w:tcPr>
            <w:tcW w:type="dxa" w:w="7776"/>
            <w:vAlign w:val="top"/>
          </w:tcPr>
          <w:p>
            <w:pPr>
              <w:spacing w:after="20" w:before="20"/>
            </w:pPr>
            <w:r>
              <w:rPr>
                <w:sz w:val="16"/>
              </w:rPr>
              <w:t>Tests show no secrets in script, events, logs, evidence, traces, stream dumps or Orchestrator. Reject unapproved business expression and third-party API/database integration bypass before effectful launch.</w:t>
            </w:r>
          </w:p>
        </w:tc>
      </w:tr>
      <w:tr>
        <w:tc>
          <w:tcPr>
            <w:tcW w:type="dxa" w:w="2592"/>
            <w:vAlign w:val="top"/>
            <w:shd w:fill="F1F5FA"/>
          </w:tcPr>
          <w:p>
            <w:pPr>
              <w:spacing w:after="20" w:before="20"/>
            </w:pPr>
            <w:r>
              <w:rPr>
                <w:sz w:val="16"/>
              </w:rPr>
              <w:t>Mode certification</w:t>
            </w:r>
          </w:p>
        </w:tc>
        <w:tc>
          <w:tcPr>
            <w:tcW w:type="dxa" w:w="7776"/>
            <w:vAlign w:val="top"/>
            <w:shd w:fill="F1F5FA"/>
          </w:tcPr>
          <w:p>
            <w:pPr>
              <w:spacing w:after="20" w:before="20"/>
            </w:pPr>
            <w:r>
              <w:rPr>
                <w:sz w:val="16"/>
              </w:rPr>
              <w:t>Browser: headless and headed only where advertised. Headed claims interactive-session ownership with same exclusivity as Desktop.</w:t>
            </w:r>
          </w:p>
        </w:tc>
      </w:tr>
      <w:tr>
        <w:tc>
          <w:tcPr>
            <w:tcW w:type="dxa" w:w="2592"/>
            <w:vAlign w:val="top"/>
          </w:tcPr>
          <w:p>
            <w:pPr>
              <w:spacing w:after="20" w:before="20"/>
            </w:pPr>
            <w:r>
              <w:rPr>
                <w:sz w:val="16"/>
              </w:rPr>
              <w:t>Real integration gate</w:t>
            </w:r>
          </w:p>
        </w:tc>
        <w:tc>
          <w:tcPr>
            <w:tcW w:type="dxa" w:w="7776"/>
            <w:vAlign w:val="top"/>
          </w:tcPr>
          <w:p>
            <w:pPr>
              <w:spacing w:after="20" w:before="20"/>
            </w:pPr>
            <w:r>
              <w:rPr>
                <w:sz w:val="16"/>
              </w:rPr>
              <w:t>Before production Runtime release, test against an actual compatible Orchestrator using unchanged Stage 1 logical protocol, including restart/reconcile, cancellation and job handoff.</w:t>
            </w:r>
          </w:p>
        </w:tc>
      </w:tr>
      <w:tr>
        <w:tc>
          <w:tcPr>
            <w:tcW w:type="dxa" w:w="2592"/>
            <w:vAlign w:val="top"/>
            <w:shd w:fill="F1F5FA"/>
          </w:tcPr>
          <w:p>
            <w:pPr>
              <w:spacing w:after="20" w:before="20"/>
            </w:pPr>
            <w:r>
              <w:rPr>
                <w:sz w:val="16"/>
              </w:rPr>
              <w:t>Deployment PoC gate</w:t>
            </w:r>
          </w:p>
        </w:tc>
        <w:tc>
          <w:tcPr>
            <w:tcW w:type="dxa" w:w="7776"/>
            <w:vAlign w:val="top"/>
            <w:shd w:fill="F1F5FA"/>
          </w:tcPr>
          <w:p>
            <w:pPr>
              <w:spacing w:after="20" w:before="20"/>
            </w:pPr>
            <w:r>
              <w:rPr>
                <w:sz w:val="16"/>
              </w:rPr>
              <w:t>Preserve architecture POC-01–POC-10 meanings and applicability. An engine fixture test does not certify unattended host boot, session provisioning, secret recovery or WSL restoration. Conditional features remain conditional.</w:t>
            </w:r>
          </w:p>
        </w:tc>
      </w:tr>
      <w:tr>
        <w:tc>
          <w:tcPr>
            <w:tcW w:type="dxa" w:w="2592"/>
            <w:vAlign w:val="top"/>
          </w:tcPr>
          <w:p>
            <w:pPr>
              <w:spacing w:after="20" w:before="20"/>
            </w:pPr>
            <w:r>
              <w:rPr>
                <w:sz w:val="16"/>
              </w:rPr>
              <w:t>Scope gate</w:t>
            </w:r>
          </w:p>
        </w:tc>
        <w:tc>
          <w:tcPr>
            <w:tcW w:type="dxa" w:w="7776"/>
            <w:vAlign w:val="top"/>
          </w:tcPr>
          <w:p>
            <w:pPr>
              <w:spacing w:after="20" w:before="20"/>
            </w:pPr>
            <w:r>
              <w:rPr>
                <w:sz w:val="16"/>
              </w:rPr>
              <w:t>No added cross-engine action, LLM runtime reasoning, business rule engine, direct business API escape, general-purpose scripting or fourth Tracto component.</w:t>
            </w:r>
          </w:p>
        </w:tc>
      </w:tr>
    </w:tbl>
    <w:p/>
    <w:p>
      <w:pPr>
        <w:pStyle w:val="Heading2"/>
      </w:pPr>
      <w:r>
        <w:t>Source hierarchy and unresolved implementation choices</w:t>
      </w:r>
    </w:p>
    <w:p>
      <w:pPr>
        <w:spacing w:after="100"/>
      </w:pPr>
      <w:r>
        <w:t>1. Frozen Tracto Architecture v1.2A (AD-01–AD-14); 2. completed Common Execution &amp; Orchestrator Interface Contract v1.0.1 and published packages; 3. this independent Runtime action and target specification; 4. approved implementation decisions, deployment policies and named certification fixtures. This document does not assert which Playwright/browser, PowerShell or WSL builds have passed real-world certification.</w:t>
      </w:r>
    </w:p>
    <w:p>
      <w:pPr>
        <w:spacing w:after="100"/>
      </w:pPr>
      <w:r>
        <w:t>Resolve exact transport bindings, signed package availability, library versions and configured thresholds against the implemented Stage 1 packages and approved deployment policies. Do not treat illustrative namespaced detail codes or proposed test fixtures as new shared protocol fields.</w:t>
      </w:r>
    </w:p>
    <w:sectPr w:rsidR="00FC693F" w:rsidRPr="0006063C" w:rsidSect="00034616">
      <w:headerReference w:type="default" r:id="rId9"/>
      <w:footerReference w:type="default" r:id="rId10"/>
      <w:pgSz w:w="12240" w:h="15840"/>
      <w:pgMar w:top="1138" w:right="1195" w:bottom="979" w:left="1195" w:header="490"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6274"/>
        <w:sz w:val="16"/>
      </w:rPr>
      <w:t xml:space="preserve">Tracto | Independent Runtime specification | Architecture v1.2A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TRACTO  /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93C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A56"/>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6883"/>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6883"/>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A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9697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