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TRACTO  /  ARCHITECTURE-ALIGNED SPECIFICATION</w:t>
      </w:r>
    </w:p>
    <w:p>
      <w:pPr>
        <w:pStyle w:val="Title"/>
      </w:pPr>
      <w:r>
        <w:t>Immediate Execution Sequence — Deliverable Register</w:t>
      </w:r>
    </w:p>
    <w:p>
      <w:pPr>
        <w:pStyle w:val="Subtitle"/>
      </w:pPr>
      <w:r>
        <w:t>What was amended, what is ready, and what the engineering teams execute next</w:t>
      </w:r>
    </w:p>
    <w:p>
      <w:r>
        <w:rPr>
          <w:i/>
        </w:rPr>
        <w:t>EXECUTION PLAN v0.2   |   22 October 2026   |   Updated functional documents; architecture frozen</w:t>
      </w:r>
    </w:p>
    <w:p>
      <w:pPr>
        <w:pStyle w:val="Caption"/>
      </w:pPr>
      <w:r>
        <w:t>Status: Functional design baseline; acceptance criteria define intended behavior. Deployment PoC outcomes remain pending where applicable.</w:t>
      </w:r>
    </w:p>
    <w:p>
      <w:pPr>
        <w:pStyle w:val="Heading1"/>
      </w:pPr>
      <w:r>
        <w:t>1. Product and deliverable boundary</w:t>
      </w:r>
    </w:p>
    <w:p>
      <w:r>
        <w:t>Architecture v1.2A keeps Tracto as Designer, Execution Runtime family and Orchestrator. Desktop, Browser and Terminal are independently packaged .NET Runtime applications. Customer business services remain entirely external. Cross-engine scripts and runtime business decision logic remain excluded from v1.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AF3F6"/>
          </w:tcPr>
          <w:p>
            <w:r>
              <w:t>Deliverable</w:t>
            </w:r>
          </w:p>
        </w:tc>
        <w:tc>
          <w:tcPr>
            <w:tcW w:type="dxa" w:w="3283"/>
            <w:shd w:fill="EAF3F6"/>
          </w:tcPr>
          <w:p>
            <w:r>
              <w:t>Version / status</w:t>
            </w:r>
          </w:p>
        </w:tc>
        <w:tc>
          <w:tcPr>
            <w:tcW w:type="dxa" w:w="3283"/>
            <w:shd w:fill="EAF3F6"/>
          </w:tcPr>
          <w:p>
            <w:r>
              <w:t>Next accountable activity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Architecture v1.2A independent-runtime amendment</w:t>
            </w:r>
          </w:p>
        </w:tc>
        <w:tc>
          <w:tcPr>
            <w:tcW w:type="dxa" w:w="3283"/>
            <w:vAlign w:val="center"/>
          </w:tcPr>
          <w:p>
            <w:r>
              <w:t>Prepared; conditional freeze maintained</w:t>
            </w:r>
          </w:p>
        </w:tc>
        <w:tc>
          <w:tcPr>
            <w:tcW w:type="dxa" w:w="3283"/>
            <w:vAlign w:val="center"/>
          </w:tcPr>
          <w:p>
            <w:r>
              <w:t>Architect validates only amended language and diagram.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Common Execution + Orchestrator Contract</w:t>
            </w:r>
          </w:p>
        </w:tc>
        <w:tc>
          <w:tcPr>
            <w:tcW w:type="dxa" w:w="3283"/>
            <w:vAlign w:val="center"/>
          </w:tcPr>
          <w:p>
            <w:r>
              <w:t>v1.0 revised functional baseline</w:t>
            </w:r>
          </w:p>
        </w:tc>
        <w:tc>
          <w:tcPr>
            <w:tcW w:type="dxa" w:w="3283"/>
            <w:vAlign w:val="center"/>
          </w:tcPr>
          <w:p>
            <w:r>
              <w:t>Review shared service.invoke, technical grammar, error categories and conformance fixtures.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Desktop Runtime Functional Specification</w:t>
            </w:r>
          </w:p>
        </w:tc>
        <w:tc>
          <w:tcPr>
            <w:tcW w:type="dxa" w:w="3283"/>
            <w:vAlign w:val="center"/>
          </w:tcPr>
          <w:p>
            <w:r>
              <w:t>v1.0 revised</w:t>
            </w:r>
          </w:p>
        </w:tc>
        <w:tc>
          <w:tcPr>
            <w:tcW w:type="dxa" w:w="3283"/>
            <w:vAlign w:val="center"/>
          </w:tcPr>
          <w:p>
            <w:r>
              <w:t>Validate action catalogue, selector schema and UIA/Java certification fixtures.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Browser Runtime Functional Specification</w:t>
            </w:r>
          </w:p>
        </w:tc>
        <w:tc>
          <w:tcPr>
            <w:tcW w:type="dxa" w:w="3283"/>
            <w:vAlign w:val="center"/>
          </w:tcPr>
          <w:p>
            <w:r>
              <w:t>v1.0 revised</w:t>
            </w:r>
          </w:p>
        </w:tc>
        <w:tc>
          <w:tcPr>
            <w:tcW w:type="dxa" w:w="3283"/>
            <w:vAlign w:val="center"/>
          </w:tcPr>
          <w:p>
            <w:r>
              <w:t>Validate DOM actions, sensitive storageState, offline browsers and API boundary.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Terminal Runtime Functional Specification</w:t>
            </w:r>
          </w:p>
        </w:tc>
        <w:tc>
          <w:tcPr>
            <w:tcW w:type="dxa" w:w="3283"/>
            <w:vAlign w:val="center"/>
          </w:tcPr>
          <w:p>
            <w:r>
              <w:t>v1.0 revised</w:t>
            </w:r>
          </w:p>
        </w:tc>
        <w:tc>
          <w:tcPr>
            <w:tcW w:type="dxa" w:w="3283"/>
            <w:vAlign w:val="center"/>
          </w:tcPr>
          <w:p>
            <w:r>
              <w:t>Validate command policy, shell isolation and API-bypass prevention.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Orchestrator full specification</w:t>
            </w:r>
          </w:p>
        </w:tc>
        <w:tc>
          <w:tcPr>
            <w:tcW w:type="dxa" w:w="3283"/>
            <w:vAlign w:val="center"/>
          </w:tcPr>
          <w:p>
            <w:r>
              <w:t>Not yet authored</w:t>
            </w:r>
          </w:p>
        </w:tc>
        <w:tc>
          <w:tcPr>
            <w:tcW w:type="dxa" w:w="3283"/>
            <w:vAlign w:val="center"/>
          </w:tcPr>
          <w:p>
            <w:r>
              <w:t>Can proceed against contract independently after interface review.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Designer full specification</w:t>
            </w:r>
          </w:p>
        </w:tc>
        <w:tc>
          <w:tcPr>
            <w:tcW w:type="dxa" w:w="3283"/>
            <w:vAlign w:val="center"/>
          </w:tcPr>
          <w:p>
            <w:r>
              <w:t>Not yet authored</w:t>
            </w:r>
          </w:p>
        </w:tc>
        <w:tc>
          <w:tcPr>
            <w:tcW w:type="dxa" w:w="3283"/>
            <w:vAlign w:val="center"/>
          </w:tcPr>
          <w:p>
            <w:r>
              <w:t>Starts after contract/action schemas stabilize; early recorder feasibility only.</w:t>
            </w:r>
          </w:p>
        </w:tc>
      </w:tr>
    </w:tbl>
    <w:p/>
    <w:p>
      <w:pPr>
        <w:pStyle w:val="Heading1"/>
      </w:pPr>
      <w:r>
        <w:t>2. Parallel workstreams — start immediately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AF3F6"/>
          </w:tcPr>
          <w:p>
            <w:r>
              <w:t>Workstream</w:t>
            </w:r>
          </w:p>
        </w:tc>
        <w:tc>
          <w:tcPr>
            <w:tcW w:type="dxa" w:w="3283"/>
            <w:shd w:fill="EAF3F6"/>
          </w:tcPr>
          <w:p>
            <w:r>
              <w:t>Action / test</w:t>
            </w:r>
          </w:p>
        </w:tc>
        <w:tc>
          <w:tcPr>
            <w:tcW w:type="dxa" w:w="3283"/>
            <w:shd w:fill="EAF3F6"/>
          </w:tcPr>
          <w:p>
            <w:r>
              <w:t>Exit evidence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Platform / Deployment</w:t>
            </w:r>
          </w:p>
        </w:tc>
        <w:tc>
          <w:tcPr>
            <w:tcW w:type="dxa" w:w="3283"/>
            <w:vAlign w:val="center"/>
          </w:tcPr>
          <w:p>
            <w:r>
              <w:t>POC-01 to POC-10 applicable to advertised modes; especially session provisioning, WSL lifecycle and DPAPI</w:t>
            </w:r>
          </w:p>
        </w:tc>
        <w:tc>
          <w:tcPr>
            <w:tcW w:type="dxa" w:w="3283"/>
            <w:vAlign w:val="center"/>
          </w:tcPr>
          <w:p>
            <w:r>
              <w:t>Recorded PASS/FAIL with OS/WSL/Docker versions; no assumption that session is automatically restored.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Shared contract</w:t>
            </w:r>
          </w:p>
        </w:tc>
        <w:tc>
          <w:tcPr>
            <w:tcW w:type="dxa" w:w="3283"/>
            <w:vAlign w:val="center"/>
          </w:tcPr>
          <w:p>
            <w:r>
              <w:t>Validate CEC v1.0 envelope, service.invoke, closed conditions, references, common errors and conformance fixture pack.</w:t>
            </w:r>
          </w:p>
        </w:tc>
        <w:tc>
          <w:tcPr>
            <w:tcW w:type="dxa" w:w="3283"/>
            <w:vAlign w:val="center"/>
          </w:tcPr>
          <w:p>
            <w:r>
              <w:t>Three independent teams accept immutable fixture pack.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3283"/>
            <w:vAlign w:val="center"/>
          </w:tcPr>
          <w:p>
            <w:r>
              <w:t>UIA/Java Access Bridge spike against named reference technologies; capture/replay sample</w:t>
            </w:r>
          </w:p>
        </w:tc>
        <w:tc>
          <w:tcPr>
            <w:tcW w:type="dxa" w:w="3283"/>
            <w:vAlign w:val="center"/>
          </w:tcPr>
          <w:p>
            <w:r>
              <w:t>Working technical actions and published unsupported control list.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3283"/>
            <w:vAlign w:val="center"/>
          </w:tcPr>
          <w:p>
            <w:r>
              <w:t>Headless/headed test matrix, SSO/MFA boundary, upload/download, DOM rerender and browser context security</w:t>
            </w:r>
          </w:p>
        </w:tc>
        <w:tc>
          <w:tcPr>
            <w:tcW w:type="dxa" w:w="3283"/>
            <w:vAlign w:val="center"/>
          </w:tcPr>
          <w:p>
            <w:r>
              <w:t>Passing automated site fixture suite.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Terminal</w:t>
            </w:r>
          </w:p>
        </w:tc>
        <w:tc>
          <w:tcPr>
            <w:tcW w:type="dxa" w:w="3283"/>
            <w:vAlign w:val="center"/>
          </w:tcPr>
          <w:p>
            <w:r>
              <w:t>CMD/PowerShell/WSL Bash approved command references, isolation and controlled output; direct third-party API/DB escape denied.</w:t>
            </w:r>
          </w:p>
        </w:tc>
        <w:tc>
          <w:tcPr>
            <w:tcW w:type="dxa" w:w="3283"/>
            <w:vAlign w:val="center"/>
          </w:tcPr>
          <w:p>
            <w:r>
              <w:t>Passing shell fixture suite and policy attack tests.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Conformance mock</w:t>
            </w:r>
          </w:p>
        </w:tc>
        <w:tc>
          <w:tcPr>
            <w:tcW w:type="dxa" w:w="3283"/>
            <w:vAlign w:val="center"/>
          </w:tcPr>
          <w:p>
            <w:r>
              <w:t>Tiny dev-only Orchestrator fixture: jobs, leases, heartbeat, expiry, restart, duplicate attempts</w:t>
            </w:r>
          </w:p>
        </w:tc>
        <w:tc>
          <w:tcPr>
            <w:tcW w:type="dxa" w:w="3283"/>
            <w:vAlign w:val="center"/>
          </w:tcPr>
          <w:p>
            <w:r>
              <w:t>CF-01–CF-15 pass separately for each runtime; dev-only fixture, not a product component.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Host supervision</w:t>
            </w:r>
          </w:p>
        </w:tc>
        <w:tc>
          <w:tcPr>
            <w:tcW w:type="dxa" w:w="3283"/>
            <w:vAlign w:val="center"/>
          </w:tcPr>
          <w:p>
            <w:r>
              <w:t>Assign single owner for supervisor package and same-bot-user isolated identity policies</w:t>
            </w:r>
          </w:p>
        </w:tc>
        <w:tc>
          <w:tcPr>
            <w:tcW w:type="dxa" w:w="3283"/>
            <w:vAlign w:val="center"/>
          </w:tcPr>
          <w:p>
            <w:r>
              <w:t>One supervisor per host and independent interactive executor proven.</w:t>
            </w:r>
          </w:p>
        </w:tc>
      </w:tr>
    </w:tbl>
    <w:p/>
    <w:p>
      <w:pPr>
        <w:pStyle w:val="Heading1"/>
      </w:pPr>
      <w:r>
        <w:t>3. Sequence and change discipline</w:t>
      </w:r>
    </w:p>
    <w:p>
      <w:r>
        <w:t>The Common Execution Contract v1.0 and three independent Runtime Functional Specifications v1.0 are the active review baselines. Connected/isolated deployment PoCs and implementation remain unexecuted. External custom business services alone own third-party business APIs. The Orchestrator and Designer full functional specifications can proceed later against the shared contract.</w:t>
      </w:r>
    </w:p>
    <w:p>
      <w:r>
        <w:t>No code, deployment PoCs or runtime executable has been implemented by authoring this document set; the deliverables are specifications and architecture amendment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95" w:bottom="979" w:left="1195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Architecture-aligned working document  •  22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TRACTO  /  EXECUTION PLAN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C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88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88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A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9697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