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  <w:pBdr>
          <w:bottom w:val="single" w:sz="12" w:space="1" w:color="1A3C6E"/>
        </w:pBdr>
      </w:pPr>
      <w:r>
        <w:rPr>
          <w:rFonts w:ascii="Calibri" w:hAnsi="Calibri"/>
          <w:b/>
          <w:i w:val="0"/>
          <w:color w:val="1A3C6E"/>
          <w:sz w:val="44"/>
          <w:u w:val="none"/>
        </w:rPr>
        <w:t>MRUNAL KUBAL</w:t>
      </w:r>
    </w:p>
    <w:p>
      <w:pPr>
        <w:spacing w:before="60" w:after="40"/>
        <w:jc w:val="center"/>
      </w:pPr>
      <w:r>
        <w:rPr>
          <w:rFonts w:ascii="Calibri" w:hAnsi="Calibri"/>
          <w:b w:val="0"/>
          <w:i/>
          <w:color w:val="2C5F9E"/>
          <w:sz w:val="20"/>
          <w:u w:val="none"/>
        </w:rPr>
        <w:t>Java Tech Lead  |  GenAI Developer Productivity  |  Enterprise Architect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444444"/>
          <w:sz w:val="19"/>
          <w:u w:val="none"/>
        </w:rPr>
        <w:t>Thane, Maharashtra  |  +91 8879756218 / +91 8108246077  |  mrunalkubal20@gmail.com</w:t>
      </w:r>
    </w:p>
    <w:p>
      <w:pPr>
        <w:spacing w:before="160" w:after="40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1"/>
          <w:u w:val="none"/>
        </w:rPr>
        <w:t>PROFESSIONAL SUMMARY</w:t>
      </w:r>
    </w:p>
    <w:p>
      <w:pPr>
        <w:spacing w:before="40" w:after="60" w:lineRule="exact" w:line="260"/>
        <w:jc w:val="both"/>
      </w:pPr>
      <w:r>
        <w:rPr>
          <w:rFonts w:ascii="Calibri" w:hAnsi="Calibri"/>
          <w:b w:val="0"/>
          <w:i w:val="0"/>
          <w:color w:val="1A1A1A"/>
          <w:sz w:val="20"/>
          <w:u w:val="none"/>
        </w:rPr>
        <w:t>Results-driven Java Tech Lead with 9+ years of enterprise software engineering experience, specialising in GenAI-powered developer productivity tools, enterprise Java/J2EE architecture, and cloud-native solutions. Proven record leading cross-functional teams, defining scalable microservices architectures, and integrating Large Language Models (LLMs) — including OpenAI/ChatGPT, LangChain, and Perplexity — into production enterprise workflows. Deep expertise in Spring Boot, Kubernetes, Docker, Azure, and CI/CD pipeline automation. Experienced in building AI-assisted migration and code-generation tooling, with strong working knowledge of enterprise security, GDPR compliance, and governance standards across Banking, Insurance, and FinTech domains.</w:t>
      </w:r>
    </w:p>
    <w:p>
      <w:pPr>
        <w:spacing w:before="160" w:after="40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1"/>
          <w:u w:val="none"/>
        </w:rPr>
        <w:t>CORE TECHNICAL SKILLS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32"/>
        <w:gridCol w:w="7848"/>
      </w:tblGrid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Java Architecture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Java 8/11/17, J2EE, Spring Boot, Spring MVC, Spring Security, JPA, Hibernate, REST APIs, Microservices, API Gateway, Design Patterns, Enterprise Architecture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GenAI &amp; LLMs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OpenAI/ChatGPT, LangChain, HuggingFace, Perplexity API, Prompt Engineering, Agentic AI, RAG pipelines, LLM-powered code generation &amp; migration tools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IDE &amp; Tooling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IntelliJ IDEA, Eclipse, IntelliJ Platform SDK / Eclipse PDE, Developer productivity tooling, VS Code extensions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Cloud &amp; DevOps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Azure (Key Vault, AKS, App Services), AWS (EC2, S3, Lambda), GCP fundamentals, Docker, Kubernetes, Jenkins, GitHub Actions, CI/CD pipeline design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Security &amp; Compliance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GDPR / Data Privacy, RBAC, OAuth 2.0, Enterprise security standards, Audit logging, Azure Key Vault, Secrets Management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Frontend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Angular 8+, React, TypeScript, JavaScript, HTML5, CSS3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Databases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Oracle, MySQL, MongoDB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Testing &amp; Quality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JUnit, Mockito, Jest, TDD, Code Reviews, SonarQube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Observability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Grafana, Prometheus, Swagger / OpenAPI</w:t>
            </w:r>
          </w:p>
        </w:tc>
      </w:tr>
      <w:tr>
        <w:trPr/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/>
                <w:i w:val="0"/>
                <w:color w:val="1A3C6E"/>
                <w:sz w:val="19"/>
                <w:u w:val="none"/>
              </w:rPr>
              <w:t>Methodology</w:t>
            </w:r>
          </w:p>
        </w:tc>
        <w:tc>
          <w:tcPr>
            <w:tcW w:type="dxa" w:w="4986"/>
            <w:vAlign w:val="top"/>
          </w:tcPr>
          <w:p>
            <w:pPr>
              <w:spacing w:before="20" w:after="20" w:lineRule="exact" w:line="240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Agile / Scrum, Maven, Git, Architecture &amp; Sequence Diagramming, Enterprise Design Reviews</w:t>
            </w:r>
          </w:p>
        </w:tc>
      </w:tr>
    </w:tbl>
    <w:p>
      <w:pPr>
        <w:spacing w:before="160" w:after="40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1"/>
          <w:u w:val="none"/>
        </w:rPr>
        <w:t>PROFESSIONAL EXPERIENCE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Virtusa</w:t>
      </w:r>
      <w:r>
        <w:rPr>
          <w:rFonts w:ascii="Calibri" w:hAnsi="Calibri"/>
          <w:i/>
          <w:color w:val="444444"/>
          <w:sz w:val="18"/>
        </w:rPr>
        <w:tab/>
        <w:t>Feb 2022 – Present</w:t>
      </w:r>
    </w:p>
    <w:p>
      <w:pPr>
        <w:spacing w:before="20" w:after="0"/>
      </w:pPr>
      <w:r>
        <w:rPr>
          <w:rFonts w:ascii="Calibri" w:hAnsi="Calibri"/>
          <w:b w:val="0"/>
          <w:i/>
          <w:color w:val="1A1A1A"/>
          <w:sz w:val="20"/>
          <w:u w:val="none"/>
        </w:rPr>
        <w:t>Lead Software Developer → Java Tech Lead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Java 17, Spring Boot, Azure (AKS/Key Vault), Microservices, Docker, Kubernetes, CI/CD (GitHub Actions/Jenkins), GenAI/LLM Integration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Led enterprise architecture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for a large-scale Credit Card Platform, defining microservices blueprints, API contracts, and governance standards adopted across the engineering org.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Architected and delivered a GenAI-powered Angular-to-React migration assistant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using OpenAI ChatGPT and Perplexity API, reducing manual migration effort by ~40% for enterprise frontend codebases.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Integrated LLM-driven code-generation tooling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into the developer workflow (IntelliJ-compatible prompts, CI/CD hooks), enabling automated boilerplate generation and documentation drafts.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Spearheaded migration of legacy Backbase services to Azure Cloud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>, improving horizontal scalability; integrated Azure Key Vault for enterprise-grade secrets management.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Designed and enforced automated CI/CD pipelines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(GitHub Actions + Jenkins) including security-gate stages, SonarQube analysis, and container vulnerability scanning aligned with enterprise compliance policies.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Improved critical API response times by 30%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through profiling, query optimisation, and caching strategies.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Produced architecture, sequence, and deployment diagrams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for CTO-level stakeholder reviews; acted as primary technical authority for design approvals.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Mentored junior and mid-level engineers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through structured code reviews, architecture walkthroughs, and pair-programming sessions; established team coding standards and best-practice playbooks.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Collaborated with product, security, and platform engineering teams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to align GenAI tooling with corporate data-privacy (GDPR) and auditability requirements.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Capgemini</w:t>
      </w:r>
      <w:r>
        <w:rPr>
          <w:rFonts w:ascii="Calibri" w:hAnsi="Calibri"/>
          <w:i/>
          <w:color w:val="444444"/>
          <w:sz w:val="18"/>
        </w:rPr>
        <w:tab/>
        <w:t>Mar 2020 – Jan 2022</w:t>
      </w:r>
    </w:p>
    <w:p>
      <w:pPr>
        <w:spacing w:before="20" w:after="0"/>
      </w:pPr>
      <w:r>
        <w:rPr>
          <w:rFonts w:ascii="Calibri" w:hAnsi="Calibri"/>
          <w:b w:val="0"/>
          <w:i/>
          <w:color w:val="1A1A1A"/>
          <w:sz w:val="20"/>
          <w:u w:val="none"/>
        </w:rPr>
        <w:t>Senior Software Developer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Java 11, Spring Boot, Angular, Microservices, REST APIs, Docker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Developed and owned dynamic insurance product modules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(Travel, Car, Cross-sell) via an API-first microservices approach integrated with third-party enterprise systems.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Designed modular, reusable service components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to accelerate developer productivity and reduce time-to-feature across teams.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Optimised Angular frontend load time by 25%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through lazy loading, change-detection strategy tuning, and bundle analysis.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Achieved 85%+ Jest unit test coverage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for critical business components; promoted TDD practices within the team.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Contributed to API governance reviews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ensuring OpenAPI specifications met enterprise integration standards.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CGI</w:t>
      </w:r>
      <w:r>
        <w:rPr>
          <w:rFonts w:ascii="Calibri" w:hAnsi="Calibri"/>
          <w:i/>
          <w:color w:val="444444"/>
          <w:sz w:val="18"/>
        </w:rPr>
        <w:tab/>
        <w:t>Dec 2018 – Feb 2020</w:t>
      </w:r>
    </w:p>
    <w:p>
      <w:pPr>
        <w:spacing w:before="20" w:after="0"/>
      </w:pPr>
      <w:r>
        <w:rPr>
          <w:rFonts w:ascii="Calibri" w:hAnsi="Calibri"/>
          <w:b w:val="0"/>
          <w:i/>
          <w:color w:val="1A1A1A"/>
          <w:sz w:val="20"/>
          <w:u w:val="none"/>
        </w:rPr>
        <w:t>Senior Software Developer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Java 8, Spring MVC, MySQL, REST APIs, Enterprise Credit Systems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Built core credit-decisioning modules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for the STRATA Credit Decision Engine, deployed at major U.S. banking institutions.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Delivered a 20% performance improvement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through client/server logic optimisation and strategic query redesign.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Contributed to architectural design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of large-scale credit workflows, ensuring extensibility and compliance with financial industry standards.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C-EDGE Technologies</w:t>
      </w:r>
      <w:r>
        <w:rPr>
          <w:rFonts w:ascii="Calibri" w:hAnsi="Calibri"/>
          <w:i/>
          <w:color w:val="444444"/>
          <w:sz w:val="18"/>
        </w:rPr>
        <w:tab/>
        <w:t>Feb 2017 – Dec 2018</w:t>
      </w:r>
    </w:p>
    <w:p>
      <w:pPr>
        <w:spacing w:before="20" w:after="0"/>
      </w:pPr>
      <w:r>
        <w:rPr>
          <w:rFonts w:ascii="Calibri" w:hAnsi="Calibri"/>
          <w:b w:val="0"/>
          <w:i/>
          <w:color w:val="1A1A1A"/>
          <w:sz w:val="20"/>
          <w:u w:val="none"/>
        </w:rPr>
        <w:t>Assistant System Analyst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Java 8, Spring MVC, Oracle, Multithreading, ISO 8583, SFMS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Implemented RBAC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(Maker/Checker/Auditor/Admin) for IBK User Interface Portal, aligning with enterprise security governance and audit requirements.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Integrated NEFT/RTGS processing with SFMS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including acknowledgements, reporting, and UTR enquiry modules — ensuring compliance with RBI regulatory standards.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Implemented ISO 8583 message processing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for KIOSK, Micro ATM, and M-Passbook interfaces — real-time financial transaction handling at scale.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Built bulk upload and audit reporting modules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supporting regulatory compliance and operational traceability.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Unotech Software Pvt. Ltd.</w:t>
      </w:r>
      <w:r>
        <w:rPr>
          <w:rFonts w:ascii="Calibri" w:hAnsi="Calibri"/>
          <w:i/>
          <w:color w:val="444444"/>
          <w:sz w:val="18"/>
        </w:rPr>
        <w:tab/>
        <w:t>Jun 2016 – Feb 2017</w:t>
      </w:r>
    </w:p>
    <w:p>
      <w:pPr>
        <w:spacing w:before="20" w:after="0"/>
      </w:pPr>
      <w:r>
        <w:rPr>
          <w:rFonts w:ascii="Calibri" w:hAnsi="Calibri"/>
          <w:b w:val="0"/>
          <w:i/>
          <w:color w:val="1A1A1A"/>
          <w:sz w:val="20"/>
          <w:u w:val="none"/>
        </w:rPr>
        <w:t>Software Engineer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Node.js, MongoDB, AWS (EC2, S3)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Developed RESTful web services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on Node.js + MongoDB for mobile applications hosted on AWS, gaining early exposure to cloud-native deployments and push-notification pipelines.</w:t>
      </w:r>
    </w:p>
    <w:p>
      <w:pPr>
        <w:spacing w:before="160" w:after="40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1"/>
          <w:u w:val="none"/>
        </w:rPr>
        <w:t>KEY GENAI &amp; DEVELOPER PRODUCTIVITY PROJECTS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GenAI Angular-to-React Migration Assistant</w:t>
      </w:r>
      <w:r>
        <w:rPr>
          <w:rFonts w:ascii="Calibri" w:hAnsi="Calibri"/>
          <w:i/>
          <w:color w:val="444444"/>
          <w:sz w:val="18"/>
        </w:rPr>
        <w:tab/>
        <w:t>2023 – Present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OpenAI ChatGPT, Perplexity API, LangChain, Java/Spring Boot, IntelliJ plugin integration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Designed an LLM-powered assistant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that analyses Angular component trees, infers business logic, and generates idiomatic React equivalents — integrated as an IntelliJ-compatible developer tool.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Implemented prompt engineering pipelines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with contextual chunking and RAG-style retrieval to handle large enterprise codebases exceeding 100K LOC.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Reduced average migration time per component by ~40%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>, providing measurable ROI for enterprise-wide frontend modernisation initiatives.</w:t>
      </w:r>
    </w:p>
    <w:p>
      <w:pPr>
        <w:tabs>
          <w:tab w:pos="9360" w:val="right"/>
        </w:tabs>
        <w:spacing w:before="120" w:after="0"/>
      </w:pPr>
      <w:r>
        <w:rPr>
          <w:rFonts w:ascii="Calibri" w:hAnsi="Calibri"/>
          <w:b/>
          <w:i w:val="0"/>
          <w:color w:val="1A3C6E"/>
          <w:sz w:val="21"/>
          <w:u w:val="none"/>
        </w:rPr>
        <w:t>AI-Augmented CI/CD Pipeline — Code Quality &amp; Governance Gates</w:t>
      </w:r>
      <w:r>
        <w:rPr>
          <w:rFonts w:ascii="Calibri" w:hAnsi="Calibri"/>
          <w:i/>
          <w:color w:val="444444"/>
          <w:sz w:val="18"/>
        </w:rPr>
        <w:tab/>
        <w:t>2024</w:t>
      </w:r>
    </w:p>
    <w:p>
      <w:pPr>
        <w:spacing w:before="20" w:after="40"/>
      </w:pPr>
      <w:r>
        <w:rPr>
          <w:rFonts w:ascii="Calibri" w:hAnsi="Calibri"/>
          <w:b w:val="0"/>
          <w:i/>
          <w:color w:val="444444"/>
          <w:sz w:val="18"/>
          <w:u w:val="none"/>
        </w:rPr>
        <w:t>LangChain, OpenAI, GitHub Actions, Docker, Azure AKS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Designed and prototyped an LLM-powered code-review gate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in CI/CD pipelines that flags security vulnerabilities, deviations from architecture guidelines, and GDPR data-handling anti-patterns before merge.</w:t>
      </w:r>
    </w:p>
    <w:p>
      <w:pPr>
        <w:pStyle w:val="ListBullet"/>
        <w:spacing w:before="20" w:after="20" w:lineRule="exact" w:line="250"/>
        <w:ind w:left="360" w:hanging="216"/>
      </w:pPr>
      <w:r>
        <w:rPr>
          <w:rFonts w:ascii="Calibri" w:hAnsi="Calibri"/>
          <w:b/>
          <w:i w:val="0"/>
          <w:color w:val="1A1A1A"/>
          <w:sz w:val="19"/>
          <w:u w:val="none"/>
        </w:rPr>
        <w:t>Integrated results as inline PR annotations</w:t>
      </w:r>
      <w:r>
        <w:rPr>
          <w:rFonts w:ascii="Calibri" w:hAnsi="Calibri"/>
          <w:b w:val="0"/>
          <w:i w:val="0"/>
          <w:color w:val="1A1A1A"/>
          <w:sz w:val="19"/>
          <w:u w:val="none"/>
        </w:rPr>
        <w:t xml:space="preserve"> within the enterprise developer workflow, driving adoption without disrupting existing toolchain habits.</w:t>
      </w:r>
    </w:p>
    <w:p>
      <w:pPr>
        <w:spacing w:before="160" w:after="40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1"/>
          <w:u w:val="none"/>
        </w:rPr>
        <w:t>EDUCATION</w:t>
      </w:r>
    </w:p>
    <w:p>
      <w:pPr>
        <w:spacing w:before="40" w:after="20"/>
      </w:pPr>
      <w:r>
        <w:rPr>
          <w:rFonts w:ascii="Calibri" w:hAnsi="Calibri"/>
          <w:b/>
          <w:i w:val="0"/>
          <w:color w:val="1A1A1A"/>
          <w:sz w:val="19"/>
          <w:u w:val="none"/>
        </w:rPr>
        <w:t>B.E. in Computer Engineering – Shah &amp; Anchor Kutchhi Engineering College</w:t>
      </w:r>
      <w:r>
        <w:rPr>
          <w:rFonts w:ascii="Calibri" w:hAnsi="Calibri"/>
          <w:b w:val="0"/>
          <w:i/>
          <w:color w:val="444444"/>
          <w:sz w:val="18"/>
          <w:u w:val="none"/>
        </w:rPr>
        <w:t xml:space="preserve">   2015</w:t>
      </w:r>
    </w:p>
    <w:p>
      <w:pPr>
        <w:spacing w:before="40" w:after="20"/>
      </w:pPr>
      <w:r>
        <w:rPr>
          <w:rFonts w:ascii="Calibri" w:hAnsi="Calibri"/>
          <w:b/>
          <w:i w:val="0"/>
          <w:color w:val="1A1A1A"/>
          <w:sz w:val="19"/>
          <w:u w:val="none"/>
        </w:rPr>
        <w:t>Diploma in Computer Engineering – Vidyalankar Polytechnic</w:t>
      </w:r>
      <w:r>
        <w:rPr>
          <w:rFonts w:ascii="Calibri" w:hAnsi="Calibri"/>
          <w:b w:val="0"/>
          <w:i/>
          <w:color w:val="444444"/>
          <w:sz w:val="18"/>
          <w:u w:val="none"/>
        </w:rPr>
        <w:t xml:space="preserve">   2012</w:t>
      </w:r>
    </w:p>
    <w:p>
      <w:pPr>
        <w:spacing w:before="160" w:after="40"/>
        <w:pBdr>
          <w:bottom w:val="single" w:sz="6" w:space="1" w:color="1A3C6E"/>
        </w:pBdr>
      </w:pPr>
      <w:r>
        <w:rPr>
          <w:rFonts w:ascii="Calibri" w:hAnsi="Calibri"/>
          <w:b/>
          <w:i w:val="0"/>
          <w:color w:val="1A3C6E"/>
          <w:sz w:val="21"/>
          <w:u w:val="none"/>
        </w:rPr>
        <w:t>AWARDS &amp; PROFESSIONAL DEVELOPMENT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  <w:u w:val="none"/>
              </w:rPr>
              <w:t>Awards &amp; Recognition</w:t>
            </w:r>
          </w:p>
          <w:p>
            <w:pPr>
              <w:pStyle w:val="ListBullet"/>
              <w:spacing w:before="20" w:after="20" w:lineRule="exact" w:line="240"/>
              <w:ind w:left="288" w:hanging="216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Best Performer of the Year</w:t>
            </w:r>
          </w:p>
          <w:p>
            <w:pPr>
              <w:pStyle w:val="ListBullet"/>
              <w:spacing w:before="20" w:after="20" w:lineRule="exact" w:line="240"/>
              <w:ind w:left="288" w:hanging="216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Pat on the Back Award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  <w:u w:val="none"/>
              </w:rPr>
              <w:t>Certifications &amp; Trainings</w:t>
            </w:r>
          </w:p>
          <w:p>
            <w:pPr>
              <w:pStyle w:val="ListBullet"/>
              <w:spacing w:before="20" w:after="20" w:lineRule="exact" w:line="240"/>
              <w:ind w:left="288" w:hanging="216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Generative AI — In Progress</w:t>
            </w:r>
          </w:p>
          <w:p>
            <w:pPr>
              <w:pStyle w:val="ListBullet"/>
              <w:spacing w:before="20" w:after="20" w:lineRule="exact" w:line="240"/>
              <w:ind w:left="288" w:hanging="216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Agentic AI</w:t>
            </w:r>
          </w:p>
          <w:p>
            <w:pPr>
              <w:pStyle w:val="ListBullet"/>
              <w:spacing w:before="20" w:after="20" w:lineRule="exact" w:line="240"/>
              <w:ind w:left="288" w:hanging="216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Docker</w:t>
            </w:r>
          </w:p>
          <w:p>
            <w:pPr>
              <w:pStyle w:val="ListBullet"/>
              <w:spacing w:before="20" w:after="20" w:lineRule="exact" w:line="240"/>
              <w:ind w:left="288" w:hanging="216"/>
            </w:pPr>
            <w:r>
              <w:rPr>
                <w:rFonts w:ascii="Calibri" w:hAnsi="Calibri"/>
                <w:b w:val="0"/>
                <w:i w:val="0"/>
                <w:color w:val="1A1A1A"/>
                <w:sz w:val="19"/>
                <w:u w:val="none"/>
              </w:rPr>
              <w:t>Kubernetes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