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5" w:name="enrichment-block-examples"/>
    <w:p>
      <w:pPr>
        <w:pStyle w:val="Heading1"/>
      </w:pPr>
      <w:r>
        <w:t xml:space="preserve">Enrichment Block Examples</w:t>
      </w:r>
    </w:p>
    <w:bookmarkStart w:id="9" w:name="library-metadata"/>
    <w:p>
      <w:pPr>
        <w:pStyle w:val="Heading2"/>
      </w:pPr>
      <w:r>
        <w:t xml:space="preserve">Library Metadata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library metadata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searchTags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9"/>
    <w:bookmarkStart w:id="10" w:name="default-enrichment"/>
    <w:p>
      <w:pPr>
        <w:pStyle w:val="Heading2"/>
      </w:pPr>
      <w:r>
        <w:t xml:space="preserve">Default Enrichment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enrichment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</w:tr>
      <w:tr>
        <w:tc>
          <w:tcPr/>
          <w:p>
            <w:pPr>
              <w:pStyle w:val="Compact"/>
            </w:pPr>
            <w:r>
              <w:t xml:space="preserve">limit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0"/>
    <w:bookmarkStart w:id="11" w:name="user-based-enrichment"/>
    <w:p>
      <w:pPr>
        <w:pStyle w:val="Heading2"/>
      </w:pPr>
      <w:r>
        <w:t xml:space="preserve">User-based Enrichment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enrichment (user)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fallback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cache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1"/>
    <w:bookmarkStart w:id="12" w:name="location-based-enrichment"/>
    <w:p>
      <w:pPr>
        <w:pStyle w:val="Heading2"/>
      </w:pPr>
      <w:r>
        <w:t xml:space="preserve">Location-based Enrichment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enrichment (location)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detect-location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default-region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2"/>
    <w:bookmarkStart w:id="13" w:name="category-enrichment"/>
    <w:p>
      <w:pPr>
        <w:pStyle w:val="Heading2"/>
      </w:pPr>
      <w:r>
        <w:t xml:space="preserve">Category Enrichment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enrichment (category)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category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sort</w:t>
            </w:r>
          </w:p>
        </w:tc>
      </w:tr>
      <w:tr>
        <w:tc>
          <w:tcPr/>
          <w:p>
            <w:pPr>
              <w:pStyle w:val="Compact"/>
            </w:pPr>
            <w:r>
              <w:t xml:space="preserve">limit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3"/>
    <w:bookmarkStart w:id="14" w:name="trending-enrichment"/>
    <w:p>
      <w:pPr>
        <w:pStyle w:val="Heading2"/>
      </w:pPr>
      <w:r>
        <w:t xml:space="preserve">Trending Enrichment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enrichment (trending)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timeframe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category</w:t>
            </w:r>
          </w:p>
        </w:tc>
      </w:tr>
      <w:tr>
        <w:tc>
          <w:tcPr/>
          <w:p>
            <w:pPr>
              <w:pStyle w:val="Compact"/>
            </w:pPr>
            <w:r>
              <w:t xml:space="preserve">limit</w:t>
            </w:r>
          </w:p>
        </w:tc>
      </w:tr>
    </w:tbl>
    <w:bookmarkEnd w:id="14"/>
    <w:bookmarkEnd w:id="1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2025-08-21T01:22:39Z</dcterms:created>
  <dcterms:modified xsi:type="dcterms:W3CDTF">2025-08-21T01:22:39Z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