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color w:val="1C4C5C"/>
          <w:sz w:val="30"/>
        </w:rPr>
        <w:t>Project Design Phase</w:t>
      </w:r>
    </w:p>
    <w:p>
      <w:pPr>
        <w:spacing w:after="0"/>
        <w:jc w:val="center"/>
      </w:pPr>
      <w:r>
        <w:rPr>
          <w:rFonts w:ascii="Arial" w:hAnsi="Arial"/>
          <w:b/>
          <w:color w:val="1C4C5C"/>
          <w:sz w:val="23"/>
        </w:rPr>
        <w:t>Solution Architecture</w:t>
      </w:r>
    </w:p>
    <w:tbl>
      <w:tblPr>
        <w:tblStyle w:val="TableGrid"/>
        <w:tblW w:type="auto" w:w="0"/>
        <w:jc w:val="center"/>
        <w:tblLayout w:type="fixed"/>
        <w:tblLook w:firstColumn="1" w:firstRow="1" w:lastColumn="0" w:lastRow="0" w:noHBand="0" w:noVBand="1" w:val="04A0"/>
      </w:tblPr>
      <w:tblGrid>
        <w:gridCol w:w="2880"/>
        <w:gridCol w:w="7056"/>
      </w:tblGrid>
      <w:tr>
        <w:trPr>
          <w:trHeight w:val="418"/>
        </w:trPr>
        <w:tc>
          <w:tcPr>
            <w:tcW w:type="dxa" w:w="5328"/>
            <w:vAlign w:val="center"/>
            <w:shd w:fill="EAF1F4"/>
          </w:tcPr>
          <w:p>
            <w:pPr>
              <w:spacing w:after="20"/>
            </w:pPr>
            <w:r/>
            <w:r>
              <w:rPr>
                <w:rFonts w:ascii="Arial" w:hAnsi="Arial"/>
                <w:b/>
                <w:color w:val="2B3137"/>
                <w:sz w:val="17"/>
              </w:rPr>
              <w:t>Date</w:t>
            </w:r>
          </w:p>
        </w:tc>
        <w:tc>
          <w:tcPr>
            <w:tcW w:type="dxa" w:w="5328"/>
            <w:vAlign w:val="center"/>
          </w:tcPr>
          <w:p>
            <w:pPr>
              <w:spacing w:after="20"/>
            </w:pPr>
            <w:r/>
            <w:r>
              <w:rPr>
                <w:rFonts w:ascii="Arial" w:hAnsi="Arial"/>
                <w:b w:val="0"/>
                <w:color w:val="2B3137"/>
                <w:sz w:val="17"/>
              </w:rPr>
              <w:t>13-10-2026</w:t>
            </w:r>
          </w:p>
        </w:tc>
      </w:tr>
      <w:tr>
        <w:trPr>
          <w:trHeight w:val="418"/>
        </w:trPr>
        <w:tc>
          <w:tcPr>
            <w:tcW w:type="dxa" w:w="5328"/>
            <w:vAlign w:val="center"/>
            <w:shd w:fill="EAF1F4"/>
          </w:tcPr>
          <w:p>
            <w:pPr>
              <w:spacing w:after="20"/>
            </w:pPr>
            <w:r/>
            <w:r>
              <w:rPr>
                <w:rFonts w:ascii="Arial" w:hAnsi="Arial"/>
                <w:b/>
                <w:color w:val="2B3137"/>
                <w:sz w:val="17"/>
              </w:rPr>
              <w:t>Team ID</w:t>
            </w:r>
          </w:p>
        </w:tc>
        <w:tc>
          <w:tcPr>
            <w:tcW w:type="dxa" w:w="5328"/>
            <w:vAlign w:val="center"/>
          </w:tcPr>
          <w:p>
            <w:pPr>
              <w:spacing w:after="20"/>
            </w:pPr>
            <w:r/>
            <w:r>
              <w:rPr>
                <w:rFonts w:ascii="Arial" w:hAnsi="Arial"/>
                <w:b w:val="0"/>
                <w:color w:val="2B3137"/>
                <w:sz w:val="17"/>
              </w:rPr>
              <w:t>Individual participant - 323103312149@gvpce.ac.in</w:t>
            </w:r>
          </w:p>
        </w:tc>
      </w:tr>
      <w:tr>
        <w:trPr>
          <w:trHeight w:val="418"/>
        </w:trPr>
        <w:tc>
          <w:tcPr>
            <w:tcW w:type="dxa" w:w="5328"/>
            <w:vAlign w:val="center"/>
            <w:shd w:fill="EAF1F4"/>
          </w:tcPr>
          <w:p>
            <w:pPr>
              <w:spacing w:after="20"/>
            </w:pPr>
            <w:r/>
            <w:r>
              <w:rPr>
                <w:rFonts w:ascii="Arial" w:hAnsi="Arial"/>
                <w:b/>
                <w:color w:val="2B3137"/>
                <w:sz w:val="17"/>
              </w:rPr>
              <w:t>Project Name</w:t>
            </w:r>
          </w:p>
        </w:tc>
        <w:tc>
          <w:tcPr>
            <w:tcW w:type="dxa" w:w="5328"/>
            <w:vAlign w:val="center"/>
          </w:tcPr>
          <w:p>
            <w:pPr>
              <w:spacing w:after="20"/>
            </w:pPr>
            <w:r/>
            <w:r>
              <w:rPr>
                <w:rFonts w:ascii="Arial" w:hAnsi="Arial"/>
                <w:b w:val="0"/>
                <w:color w:val="2B3137"/>
                <w:sz w:val="17"/>
              </w:rPr>
              <w:t>Software Installation Request - ServiceNow</w:t>
            </w:r>
          </w:p>
        </w:tc>
      </w:tr>
      <w:tr>
        <w:trPr>
          <w:trHeight w:val="418"/>
        </w:trPr>
        <w:tc>
          <w:tcPr>
            <w:tcW w:type="dxa" w:w="5328"/>
            <w:vAlign w:val="center"/>
            <w:shd w:fill="EAF1F4"/>
          </w:tcPr>
          <w:p>
            <w:pPr>
              <w:spacing w:after="20"/>
            </w:pPr>
            <w:r/>
            <w:r>
              <w:rPr>
                <w:rFonts w:ascii="Arial" w:hAnsi="Arial"/>
                <w:b/>
                <w:color w:val="2B3137"/>
                <w:sz w:val="17"/>
              </w:rPr>
              <w:t>Maximum Marks</w:t>
            </w:r>
          </w:p>
        </w:tc>
        <w:tc>
          <w:tcPr>
            <w:tcW w:type="dxa" w:w="5328"/>
            <w:vAlign w:val="center"/>
          </w:tcPr>
          <w:p>
            <w:pPr>
              <w:spacing w:after="20"/>
            </w:pPr>
            <w:r/>
            <w:r>
              <w:rPr>
                <w:rFonts w:ascii="Arial" w:hAnsi="Arial"/>
                <w:b w:val="0"/>
                <w:color w:val="2B3137"/>
                <w:sz w:val="17"/>
              </w:rPr>
              <w:t>4 Marks</w:t>
            </w:r>
          </w:p>
        </w:tc>
      </w:tr>
    </w:tbl>
    <w:p/>
    <w:p>
      <w:pPr>
        <w:pStyle w:val="Heading1"/>
        <w:spacing w:before="80" w:after="40"/>
      </w:pPr>
      <w:r>
        <w:t>Solution Architecture</w:t>
      </w:r>
    </w:p>
    <w:p>
      <w:r>
        <w:t>The solution architecture bridges the software-request business need with ServiceNow platform capabilities. It defines the main users, catalog entry point, workflow orchestration, approval decision, record storage, fulfillment task, and communication touchpoints.</w:t>
      </w:r>
    </w:p>
    <w:p>
      <w:pPr>
        <w:pStyle w:val="ListBullet"/>
        <w:spacing w:after="20"/>
        <w:ind w:left="360" w:hanging="173"/>
      </w:pPr>
      <w:r>
        <w:t>Find the appropriate platform solution for a controlled software installation/license request.</w:t>
      </w:r>
    </w:p>
    <w:p>
      <w:pPr>
        <w:pStyle w:val="ListBullet"/>
        <w:spacing w:after="20"/>
        <w:ind w:left="360" w:hanging="173"/>
      </w:pPr>
      <w:r>
        <w:t>Describe the structure and behavior of the catalog, approval, request records, and fulfillment task.</w:t>
      </w:r>
    </w:p>
    <w:p>
      <w:pPr>
        <w:pStyle w:val="ListBullet"/>
        <w:spacing w:after="20"/>
        <w:ind w:left="360" w:hanging="173"/>
      </w:pPr>
      <w:r>
        <w:t>Define the request lifecycle and expected behavior for approved and rejected requests.</w:t>
      </w:r>
    </w:p>
    <w:p>
      <w:pPr>
        <w:pStyle w:val="ListBullet"/>
        <w:spacing w:after="20"/>
        <w:ind w:left="360" w:hanging="173"/>
      </w:pPr>
      <w:r>
        <w:t>Provide a clear conceptual design for configuration, testing, and deployment.</w:t>
      </w:r>
    </w:p>
    <w:p>
      <w:pPr>
        <w:pStyle w:val="Heading1"/>
        <w:spacing w:before="80" w:after="40"/>
      </w:pPr>
      <w:r>
        <w:t>Solution Architecture Diagram</w:t>
      </w:r>
    </w:p>
    <w:p>
      <w:pPr>
        <w:spacing w:after="0"/>
        <w:jc w:val="center"/>
      </w:pPr>
      <w:r>
        <w:drawing>
          <wp:inline xmlns:a="http://schemas.openxmlformats.org/drawingml/2006/main" xmlns:pic="http://schemas.openxmlformats.org/drawingml/2006/picture">
            <wp:extent cx="6537960" cy="3515109"/>
            <wp:docPr id="1" name="Picture 1"/>
            <wp:cNvGraphicFramePr>
              <a:graphicFrameLocks noChangeAspect="1"/>
            </wp:cNvGraphicFramePr>
            <a:graphic>
              <a:graphicData uri="http://schemas.openxmlformats.org/drawingml/2006/picture">
                <pic:pic>
                  <pic:nvPicPr>
                    <pic:cNvPr id="0" name="solution_architecture_servicenow.png"/>
                    <pic:cNvPicPr/>
                  </pic:nvPicPr>
                  <pic:blipFill>
                    <a:blip r:embed="rId9"/>
                    <a:stretch>
                      <a:fillRect/>
                    </a:stretch>
                  </pic:blipFill>
                  <pic:spPr>
                    <a:xfrm>
                      <a:off x="0" y="0"/>
                      <a:ext cx="6537960" cy="3515109"/>
                    </a:xfrm>
                    <a:prstGeom prst="rect"/>
                  </pic:spPr>
                </pic:pic>
              </a:graphicData>
            </a:graphic>
          </wp:inline>
        </w:drawing>
      </w:r>
    </w:p>
    <w:p>
      <w:pPr>
        <w:spacing w:after="60"/>
        <w:jc w:val="center"/>
      </w:pPr>
      <w:r>
        <w:rPr>
          <w:i/>
          <w:color w:val="69747C"/>
          <w:sz w:val="15"/>
        </w:rPr>
        <w:t>Figure 1. Conceptual architecture and data flow for the ServiceNow software installation request workflow.</w:t>
      </w:r>
    </w:p>
    <w:p>
      <w:pPr>
        <w:pStyle w:val="Heading1"/>
        <w:spacing w:before="80" w:after="40"/>
      </w:pPr>
      <w:r>
        <w:t>Architecture Components</w:t>
      </w:r>
    </w:p>
    <w:tbl>
      <w:tblPr>
        <w:tblStyle w:val="TableGrid"/>
        <w:tblW w:type="auto" w:w="0"/>
        <w:jc w:val="center"/>
        <w:tblLayout w:type="fixed"/>
        <w:tblLook w:firstColumn="1" w:firstRow="1" w:lastColumn="0" w:lastRow="0" w:noHBand="0" w:noVBand="1" w:val="04A0"/>
      </w:tblPr>
      <w:tblGrid>
        <w:gridCol w:w="2232"/>
        <w:gridCol w:w="3024"/>
        <w:gridCol w:w="5400"/>
      </w:tblGrid>
      <w:tr>
        <w:tc>
          <w:tcPr>
            <w:tcW w:type="dxa" w:w="3552"/>
            <w:vAlign w:val="center"/>
            <w:shd w:fill="1C4C5C"/>
          </w:tcPr>
          <w:p>
            <w:pPr>
              <w:spacing w:after="20"/>
            </w:pPr>
            <w:r/>
            <w:r>
              <w:rPr>
                <w:rFonts w:ascii="Arial" w:hAnsi="Arial"/>
                <w:b/>
                <w:color w:val="FFFFFF"/>
                <w:sz w:val="15"/>
              </w:rPr>
              <w:t>Component</w:t>
            </w:r>
          </w:p>
        </w:tc>
        <w:tc>
          <w:tcPr>
            <w:tcW w:type="dxa" w:w="3552"/>
            <w:vAlign w:val="center"/>
            <w:shd w:fill="1C4C5C"/>
          </w:tcPr>
          <w:p>
            <w:pPr>
              <w:spacing w:after="20"/>
            </w:pPr>
            <w:r/>
            <w:r>
              <w:rPr>
                <w:rFonts w:ascii="Arial" w:hAnsi="Arial"/>
                <w:b/>
                <w:color w:val="FFFFFF"/>
                <w:sz w:val="15"/>
              </w:rPr>
              <w:t>Responsibility</w:t>
            </w:r>
          </w:p>
        </w:tc>
        <w:tc>
          <w:tcPr>
            <w:tcW w:type="dxa" w:w="3552"/>
            <w:vAlign w:val="center"/>
            <w:shd w:fill="1C4C5C"/>
          </w:tcPr>
          <w:p>
            <w:pPr>
              <w:spacing w:after="20"/>
            </w:pPr>
            <w:r/>
            <w:r>
              <w:rPr>
                <w:rFonts w:ascii="Arial" w:hAnsi="Arial"/>
                <w:b/>
                <w:color w:val="FFFFFF"/>
                <w:sz w:val="15"/>
              </w:rPr>
              <w:t>Key artifacts / data</w:t>
            </w:r>
          </w:p>
        </w:tc>
      </w:tr>
      <w:tr>
        <w:trPr>
          <w:trHeight w:val="533"/>
        </w:trPr>
        <w:tc>
          <w:tcPr>
            <w:tcW w:type="dxa" w:w="2232"/>
            <w:vAlign w:val="center"/>
            <w:shd w:fill="EAF1F4"/>
          </w:tcPr>
          <w:p>
            <w:pPr>
              <w:spacing w:after="20"/>
            </w:pPr>
            <w:r/>
            <w:r>
              <w:rPr>
                <w:rFonts w:ascii="Arial" w:hAnsi="Arial"/>
                <w:b/>
                <w:color w:val="2B3137"/>
                <w:sz w:val="14"/>
              </w:rPr>
              <w:t>Employee / requester</w:t>
            </w:r>
          </w:p>
        </w:tc>
        <w:tc>
          <w:tcPr>
            <w:tcW w:type="dxa" w:w="3024"/>
            <w:vAlign w:val="center"/>
          </w:tcPr>
          <w:p>
            <w:pPr>
              <w:spacing w:after="20"/>
            </w:pPr>
            <w:r/>
            <w:r>
              <w:rPr>
                <w:rFonts w:ascii="Arial" w:hAnsi="Arial"/>
                <w:b w:val="0"/>
                <w:color w:val="2B3137"/>
                <w:sz w:val="14"/>
              </w:rPr>
              <w:t>Initiates software request and checks progress.</w:t>
            </w:r>
          </w:p>
        </w:tc>
        <w:tc>
          <w:tcPr>
            <w:tcW w:type="dxa" w:w="5400"/>
            <w:vAlign w:val="center"/>
          </w:tcPr>
          <w:p>
            <w:pPr>
              <w:spacing w:after="20"/>
            </w:pPr>
            <w:r/>
            <w:r>
              <w:rPr>
                <w:rFonts w:ascii="Arial" w:hAnsi="Arial"/>
                <w:b w:val="0"/>
                <w:color w:val="2B3137"/>
                <w:sz w:val="14"/>
              </w:rPr>
              <w:t>Catalog form inputs; REQ/RITM references.</w:t>
            </w:r>
          </w:p>
        </w:tc>
      </w:tr>
      <w:tr>
        <w:trPr>
          <w:trHeight w:val="533"/>
        </w:trPr>
        <w:tc>
          <w:tcPr>
            <w:tcW w:type="dxa" w:w="2232"/>
            <w:vAlign w:val="center"/>
            <w:shd w:fill="EAF1F4"/>
          </w:tcPr>
          <w:p>
            <w:pPr>
              <w:spacing w:after="20"/>
            </w:pPr>
            <w:r/>
            <w:r>
              <w:rPr>
                <w:rFonts w:ascii="Arial" w:hAnsi="Arial"/>
                <w:b/>
                <w:color w:val="2B3137"/>
                <w:sz w:val="14"/>
              </w:rPr>
              <w:t>Service Catalog</w:t>
            </w:r>
          </w:p>
        </w:tc>
        <w:tc>
          <w:tcPr>
            <w:tcW w:type="dxa" w:w="3024"/>
            <w:vAlign w:val="center"/>
          </w:tcPr>
          <w:p>
            <w:pPr>
              <w:spacing w:after="20"/>
            </w:pPr>
            <w:r/>
            <w:r>
              <w:rPr>
                <w:rFonts w:ascii="Arial" w:hAnsi="Arial"/>
                <w:b w:val="0"/>
                <w:color w:val="2B3137"/>
                <w:sz w:val="14"/>
              </w:rPr>
              <w:t>Captures software and justification details.</w:t>
            </w:r>
          </w:p>
        </w:tc>
        <w:tc>
          <w:tcPr>
            <w:tcW w:type="dxa" w:w="5400"/>
            <w:vAlign w:val="center"/>
          </w:tcPr>
          <w:p>
            <w:pPr>
              <w:spacing w:after="20"/>
            </w:pPr>
            <w:r/>
            <w:r>
              <w:rPr>
                <w:rFonts w:ascii="Arial" w:hAnsi="Arial"/>
                <w:b w:val="0"/>
                <w:color w:val="2B3137"/>
                <w:sz w:val="14"/>
              </w:rPr>
              <w:t>Catalog item and variables.</w:t>
            </w:r>
          </w:p>
        </w:tc>
      </w:tr>
      <w:tr>
        <w:trPr>
          <w:trHeight w:val="533"/>
        </w:trPr>
        <w:tc>
          <w:tcPr>
            <w:tcW w:type="dxa" w:w="2232"/>
            <w:vAlign w:val="center"/>
            <w:shd w:fill="EAF1F4"/>
          </w:tcPr>
          <w:p>
            <w:pPr>
              <w:spacing w:after="20"/>
            </w:pPr>
            <w:r/>
            <w:r>
              <w:rPr>
                <w:rFonts w:ascii="Arial" w:hAnsi="Arial"/>
                <w:b/>
                <w:color w:val="2B3137"/>
                <w:sz w:val="14"/>
              </w:rPr>
              <w:t>Flow Designer</w:t>
            </w:r>
          </w:p>
        </w:tc>
        <w:tc>
          <w:tcPr>
            <w:tcW w:type="dxa" w:w="3024"/>
            <w:vAlign w:val="center"/>
          </w:tcPr>
          <w:p>
            <w:pPr>
              <w:spacing w:after="20"/>
            </w:pPr>
            <w:r/>
            <w:r>
              <w:rPr>
                <w:rFonts w:ascii="Arial" w:hAnsi="Arial"/>
                <w:b w:val="0"/>
                <w:color w:val="2B3137"/>
                <w:sz w:val="14"/>
              </w:rPr>
              <w:t>Coordinates request processing and approval.</w:t>
            </w:r>
          </w:p>
        </w:tc>
        <w:tc>
          <w:tcPr>
            <w:tcW w:type="dxa" w:w="5400"/>
            <w:vAlign w:val="center"/>
          </w:tcPr>
          <w:p>
            <w:pPr>
              <w:spacing w:after="20"/>
            </w:pPr>
            <w:r/>
            <w:r>
              <w:rPr>
                <w:rFonts w:ascii="Arial" w:hAnsi="Arial"/>
                <w:b w:val="0"/>
                <w:color w:val="2B3137"/>
                <w:sz w:val="14"/>
              </w:rPr>
              <w:t>Trigger, manager approval, decision branches.</w:t>
            </w:r>
          </w:p>
        </w:tc>
      </w:tr>
      <w:tr>
        <w:trPr>
          <w:trHeight w:val="533"/>
        </w:trPr>
        <w:tc>
          <w:tcPr>
            <w:tcW w:type="dxa" w:w="2232"/>
            <w:vAlign w:val="center"/>
            <w:shd w:fill="EAF1F4"/>
          </w:tcPr>
          <w:p>
            <w:pPr>
              <w:spacing w:after="20"/>
            </w:pPr>
            <w:r/>
            <w:r>
              <w:rPr>
                <w:rFonts w:ascii="Arial" w:hAnsi="Arial"/>
                <w:b/>
                <w:color w:val="2B3137"/>
                <w:sz w:val="14"/>
              </w:rPr>
              <w:t>Manager / approver</w:t>
            </w:r>
          </w:p>
        </w:tc>
        <w:tc>
          <w:tcPr>
            <w:tcW w:type="dxa" w:w="3024"/>
            <w:vAlign w:val="center"/>
          </w:tcPr>
          <w:p>
            <w:pPr>
              <w:spacing w:after="20"/>
            </w:pPr>
            <w:r/>
            <w:r>
              <w:rPr>
                <w:rFonts w:ascii="Arial" w:hAnsi="Arial"/>
                <w:b w:val="0"/>
                <w:color w:val="2B3137"/>
                <w:sz w:val="14"/>
              </w:rPr>
              <w:t>Reviews business justification and decides.</w:t>
            </w:r>
          </w:p>
        </w:tc>
        <w:tc>
          <w:tcPr>
            <w:tcW w:type="dxa" w:w="5400"/>
            <w:vAlign w:val="center"/>
          </w:tcPr>
          <w:p>
            <w:pPr>
              <w:spacing w:after="20"/>
            </w:pPr>
            <w:r/>
            <w:r>
              <w:rPr>
                <w:rFonts w:ascii="Arial" w:hAnsi="Arial"/>
                <w:b w:val="0"/>
                <w:color w:val="2B3137"/>
                <w:sz w:val="14"/>
              </w:rPr>
              <w:t>Approval record linked to Requested Item.</w:t>
            </w:r>
          </w:p>
        </w:tc>
      </w:tr>
      <w:tr>
        <w:trPr>
          <w:trHeight w:val="533"/>
        </w:trPr>
        <w:tc>
          <w:tcPr>
            <w:tcW w:type="dxa" w:w="2232"/>
            <w:vAlign w:val="center"/>
            <w:shd w:fill="EAF1F4"/>
          </w:tcPr>
          <w:p>
            <w:pPr>
              <w:spacing w:after="20"/>
            </w:pPr>
            <w:r/>
            <w:r>
              <w:rPr>
                <w:rFonts w:ascii="Arial" w:hAnsi="Arial"/>
                <w:b/>
                <w:color w:val="2B3137"/>
                <w:sz w:val="14"/>
              </w:rPr>
              <w:t>Request records</w:t>
            </w:r>
          </w:p>
        </w:tc>
        <w:tc>
          <w:tcPr>
            <w:tcW w:type="dxa" w:w="3024"/>
            <w:vAlign w:val="center"/>
          </w:tcPr>
          <w:p>
            <w:pPr>
              <w:spacing w:after="20"/>
            </w:pPr>
            <w:r/>
            <w:r>
              <w:rPr>
                <w:rFonts w:ascii="Arial" w:hAnsi="Arial"/>
                <w:b w:val="0"/>
                <w:color w:val="2B3137"/>
                <w:sz w:val="14"/>
              </w:rPr>
              <w:t>Retain parent and catalog request context.</w:t>
            </w:r>
          </w:p>
        </w:tc>
        <w:tc>
          <w:tcPr>
            <w:tcW w:type="dxa" w:w="5400"/>
            <w:vAlign w:val="center"/>
          </w:tcPr>
          <w:p>
            <w:pPr>
              <w:spacing w:after="20"/>
            </w:pPr>
            <w:r/>
            <w:r>
              <w:rPr>
                <w:rFonts w:ascii="Arial" w:hAnsi="Arial"/>
                <w:b w:val="0"/>
                <w:color w:val="2B3137"/>
                <w:sz w:val="14"/>
              </w:rPr>
              <w:t>sc_request and sc_req_item.</w:t>
            </w:r>
          </w:p>
        </w:tc>
      </w:tr>
      <w:tr>
        <w:trPr>
          <w:trHeight w:val="533"/>
        </w:trPr>
        <w:tc>
          <w:tcPr>
            <w:tcW w:type="dxa" w:w="2232"/>
            <w:vAlign w:val="center"/>
            <w:shd w:fill="EAF1F4"/>
          </w:tcPr>
          <w:p>
            <w:pPr>
              <w:spacing w:after="20"/>
            </w:pPr>
            <w:r/>
            <w:r>
              <w:rPr>
                <w:rFonts w:ascii="Arial" w:hAnsi="Arial"/>
                <w:b/>
                <w:color w:val="2B3137"/>
                <w:sz w:val="14"/>
              </w:rPr>
              <w:t>Catalog Task</w:t>
            </w:r>
          </w:p>
        </w:tc>
        <w:tc>
          <w:tcPr>
            <w:tcW w:type="dxa" w:w="3024"/>
            <w:vAlign w:val="center"/>
          </w:tcPr>
          <w:p>
            <w:pPr>
              <w:spacing w:after="20"/>
            </w:pPr>
            <w:r/>
            <w:r>
              <w:rPr>
                <w:rFonts w:ascii="Arial" w:hAnsi="Arial"/>
                <w:b w:val="0"/>
                <w:color w:val="2B3137"/>
                <w:sz w:val="14"/>
              </w:rPr>
              <w:t>Represents approved fulfillment work.</w:t>
            </w:r>
          </w:p>
        </w:tc>
        <w:tc>
          <w:tcPr>
            <w:tcW w:type="dxa" w:w="5400"/>
            <w:vAlign w:val="center"/>
          </w:tcPr>
          <w:p>
            <w:pPr>
              <w:spacing w:after="20"/>
            </w:pPr>
            <w:r/>
            <w:r>
              <w:rPr>
                <w:rFonts w:ascii="Arial" w:hAnsi="Arial"/>
                <w:b w:val="0"/>
                <w:color w:val="2B3137"/>
                <w:sz w:val="14"/>
              </w:rPr>
              <w:t>sc_task, assignment group, task state.</w:t>
            </w:r>
          </w:p>
        </w:tc>
      </w:tr>
      <w:tr>
        <w:trPr>
          <w:trHeight w:val="533"/>
        </w:trPr>
        <w:tc>
          <w:tcPr>
            <w:tcW w:type="dxa" w:w="2232"/>
            <w:vAlign w:val="center"/>
            <w:shd w:fill="EAF1F4"/>
          </w:tcPr>
          <w:p>
            <w:pPr>
              <w:spacing w:after="20"/>
            </w:pPr>
            <w:r/>
            <w:r>
              <w:rPr>
                <w:rFonts w:ascii="Arial" w:hAnsi="Arial"/>
                <w:b/>
                <w:color w:val="2B3137"/>
                <w:sz w:val="14"/>
              </w:rPr>
              <w:t>Notifications / portal</w:t>
            </w:r>
          </w:p>
        </w:tc>
        <w:tc>
          <w:tcPr>
            <w:tcW w:type="dxa" w:w="3024"/>
            <w:vAlign w:val="center"/>
          </w:tcPr>
          <w:p>
            <w:pPr>
              <w:spacing w:after="20"/>
            </w:pPr>
            <w:r/>
            <w:r>
              <w:rPr>
                <w:rFonts w:ascii="Arial" w:hAnsi="Arial"/>
                <w:b w:val="0"/>
                <w:color w:val="2B3137"/>
                <w:sz w:val="14"/>
              </w:rPr>
              <w:t>Communicates request receipt, decisions, assignment, and progress.</w:t>
            </w:r>
          </w:p>
        </w:tc>
        <w:tc>
          <w:tcPr>
            <w:tcW w:type="dxa" w:w="5400"/>
            <w:vAlign w:val="center"/>
          </w:tcPr>
          <w:p>
            <w:pPr>
              <w:spacing w:after="20"/>
            </w:pPr>
            <w:r/>
            <w:r>
              <w:rPr>
                <w:rFonts w:ascii="Arial" w:hAnsi="Arial"/>
                <w:b w:val="0"/>
                <w:color w:val="2B3137"/>
                <w:sz w:val="14"/>
              </w:rPr>
              <w:t>Outbound email records; status views.</w:t>
            </w:r>
          </w:p>
        </w:tc>
      </w:tr>
    </w:tbl>
    <w:p>
      <w:pPr>
        <w:pStyle w:val="Heading1"/>
        <w:spacing w:before="80" w:after="40"/>
      </w:pPr>
      <w:r>
        <w:t>Workflow and decision rules</w:t>
      </w:r>
    </w:p>
    <w:p>
      <w:pPr>
        <w:pStyle w:val="ListNumber"/>
        <w:spacing w:after="20"/>
        <w:ind w:left="360" w:hanging="173"/>
      </w:pPr>
      <w:r>
        <w:t>Employee submits the catalog item; ServiceNow creates a Request and Requested Item with the submitted details.</w:t>
      </w:r>
    </w:p>
    <w:p>
      <w:pPr>
        <w:pStyle w:val="ListNumber"/>
        <w:spacing w:after="20"/>
        <w:ind w:left="360" w:hanging="173"/>
      </w:pPr>
      <w:r>
        <w:t>Flow Designer routes the Requested Item to the configured manager for approval.</w:t>
      </w:r>
    </w:p>
    <w:p>
      <w:pPr>
        <w:pStyle w:val="ListNumber"/>
        <w:spacing w:after="20"/>
        <w:ind w:left="360" w:hanging="173"/>
      </w:pPr>
      <w:r>
        <w:t>If approved, the flow creates a linked Catalog Task and routes it to the Software fulfillment group.</w:t>
      </w:r>
    </w:p>
    <w:p>
      <w:pPr>
        <w:pStyle w:val="ListNumber"/>
        <w:spacing w:after="20"/>
        <w:ind w:left="360" w:hanging="173"/>
      </w:pPr>
      <w:r>
        <w:t>If rejected, the flow records the rejection outcome and does not create a fulfillment task.</w:t>
      </w:r>
    </w:p>
    <w:p>
      <w:pPr>
        <w:pStyle w:val="ListNumber"/>
        <w:spacing w:after="20"/>
        <w:ind w:left="360" w:hanging="173"/>
      </w:pPr>
      <w:r>
        <w:t>Relevant notifications are generated for configured recipients; the requester can use available portal/status views to track progress.</w:t>
      </w:r>
    </w:p>
    <w:p>
      <w:pPr>
        <w:pStyle w:val="Heading1"/>
        <w:spacing w:before="80" w:after="40"/>
      </w:pPr>
      <w:r>
        <w:t>Architecture assumptions and validation</w:t>
      </w:r>
    </w:p>
    <w:p>
      <w:r>
        <w:t>This is the intended target architecture. Manager profile data, approval routing, field validation, task-assignment rules, email recipients, and portal access depend on instance configuration. These should be verified during functional testing. The diagram is conceptual and does not claim that every connection has been validated in a live instance.</w:t>
      </w:r>
    </w:p>
    <w:p>
      <w:pPr>
        <w:pStyle w:val="Heading1"/>
        <w:spacing w:before="80" w:after="40"/>
      </w:pPr>
      <w:r>
        <w:t>Reference</w:t>
      </w:r>
    </w:p>
    <w:p>
      <w:r>
        <w:t>https://aws.amazon.com/blogs/industries/voice-applications-in-clinical-research-powered-by-ai-on-aws-part-1-architecture-and-design-considerations/</w:t>
      </w:r>
    </w:p>
    <w:sectPr w:rsidR="00FC693F" w:rsidRPr="0006063C" w:rsidSect="00034616">
      <w:footerReference w:type="default" r:id="rId10"/>
      <w:pgSz w:w="12240" w:h="15840"/>
      <w:pgMar w:top="691" w:right="792" w:bottom="691"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9747C"/>
        <w:sz w:val="13"/>
      </w:rPr>
      <w:t>SOFTWARE INSTALLATION REQUEST - SERVICENOW  |  PROJECT DESIGN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color w:val="2B3137"/>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C4C5C"/>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C4C5C"/>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C4C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