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C4C5C"/>
          <w:sz w:val="30"/>
        </w:rPr>
        <w:t>Project Design Phase-II</w:t>
      </w:r>
    </w:p>
    <w:p>
      <w:pPr>
        <w:spacing w:after="0"/>
        <w:jc w:val="center"/>
      </w:pPr>
      <w:r>
        <w:rPr>
          <w:rFonts w:ascii="Arial" w:hAnsi="Arial"/>
          <w:b/>
          <w:color w:val="1C4C5C"/>
          <w:sz w:val="23"/>
        </w:rPr>
        <w:t>Technology Stack (Architecture &amp; Stack)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rPr>
          <w:trHeight w:val="360"/>
        </w:trPr>
        <w:tc>
          <w:tcPr>
            <w:tcW w:type="dxa" w:w="5400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6"/>
              </w:rPr>
              <w:t>Date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13-10-2026</w:t>
            </w:r>
          </w:p>
        </w:tc>
      </w:tr>
      <w:tr>
        <w:trPr>
          <w:trHeight w:val="360"/>
        </w:trPr>
        <w:tc>
          <w:tcPr>
            <w:tcW w:type="dxa" w:w="5400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6"/>
              </w:rPr>
              <w:t>Team ID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Individual participant - 323103312149@gvpce.ac.in</w:t>
            </w:r>
          </w:p>
        </w:tc>
      </w:tr>
      <w:tr>
        <w:trPr>
          <w:trHeight w:val="360"/>
        </w:trPr>
        <w:tc>
          <w:tcPr>
            <w:tcW w:type="dxa" w:w="5400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6"/>
              </w:rPr>
              <w:t>Project Name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Software Installation Request - ServiceNow</w:t>
            </w:r>
          </w:p>
        </w:tc>
      </w:tr>
      <w:tr>
        <w:trPr>
          <w:trHeight w:val="360"/>
        </w:trPr>
        <w:tc>
          <w:tcPr>
            <w:tcW w:type="dxa" w:w="5400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6"/>
              </w:rPr>
              <w:t>Maximum Marks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4 Marks</w:t>
            </w:r>
          </w:p>
        </w:tc>
      </w:tr>
    </w:tbl>
    <w:p/>
    <w:p>
      <w:pPr>
        <w:pStyle w:val="Heading1"/>
        <w:spacing w:before="60" w:after="40"/>
      </w:pPr>
      <w:r>
        <w:t>Technical Architecture:</w:t>
      </w:r>
    </w:p>
    <w:p>
      <w:r>
        <w:t>The solution is organized around the ServiceNow hosted platform. Employees use the Service Catalog; Flow Designer coordinates approval and fulfillment; standard platform records retain request, approval, and task data; portal/status views and configured outbound email support communication.</w:t>
      </w:r>
    </w:p>
    <w:p>
      <w:pPr>
        <w:spacing w:after="0"/>
      </w:pPr>
      <w:r>
        <w:rPr>
          <w:b/>
        </w:rPr>
        <w:t>Architecture diagram — conceptual deployment and data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5473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now_technology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547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t>Infrastructure demarcation: users access a hosted ServiceNow instance through a web browser. Request data is stored in ServiceNow-managed tables. Email is represented as a platform notification service. No separate local server, external API, or machine-learning model is required by the documented project scope.</w:t>
      </w:r>
    </w:p>
    <w:p>
      <w:pPr>
        <w:pStyle w:val="Heading1"/>
        <w:spacing w:before="60" w:after="40"/>
      </w:pPr>
      <w:r>
        <w:t>Table-1: Components &amp; Technologies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1944"/>
        <w:gridCol w:w="4032"/>
        <w:gridCol w:w="3528"/>
      </w:tblGrid>
      <w:tr>
        <w:trPr>
          <w:tblHeader w:val="true"/>
        </w:trPr>
        <w:tc>
          <w:tcPr>
            <w:tcW w:type="dxa" w:w="2700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S.No</w:t>
            </w:r>
          </w:p>
        </w:tc>
        <w:tc>
          <w:tcPr>
            <w:tcW w:type="dxa" w:w="2700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2700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2700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Technology</w:t>
            </w:r>
          </w:p>
        </w:tc>
      </w:tr>
      <w:tr>
        <w:trPr>
          <w:trHeight w:val="547"/>
        </w:trPr>
        <w:tc>
          <w:tcPr>
            <w:tcW w:type="dxa" w:w="60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1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User Interface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Employee-facing catalog form and request/status views; manager approval UI; fulfillment task UI.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ServiceNow Service Catalog / Service Portal; web browser</w:t>
            </w:r>
          </w:p>
        </w:tc>
      </w:tr>
      <w:tr>
        <w:trPr>
          <w:trHeight w:val="547"/>
        </w:trPr>
        <w:tc>
          <w:tcPr>
            <w:tcW w:type="dxa" w:w="60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2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Application Logic-1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Collects catalog inputs and creates the request / Requested Item.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ServiceNow Catalog Item and catalog variables</w:t>
            </w:r>
          </w:p>
        </w:tc>
      </w:tr>
      <w:tr>
        <w:trPr>
          <w:trHeight w:val="547"/>
        </w:trPr>
        <w:tc>
          <w:tcPr>
            <w:tcW w:type="dxa" w:w="60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3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Application Logic-2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Starts workflow and routes the Requested Item for manager approval.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ServiceNow Flow Designer</w:t>
            </w:r>
          </w:p>
        </w:tc>
      </w:tr>
      <w:tr>
        <w:trPr>
          <w:trHeight w:val="547"/>
        </w:trPr>
        <w:tc>
          <w:tcPr>
            <w:tcW w:type="dxa" w:w="60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4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Application Logic-3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Handles decision outcomes and creates a fulfillment task only after approval.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Flow Designer approval/conditional actions; Catalog Task</w:t>
            </w:r>
          </w:p>
        </w:tc>
      </w:tr>
      <w:tr>
        <w:trPr>
          <w:trHeight w:val="547"/>
        </w:trPr>
        <w:tc>
          <w:tcPr>
            <w:tcW w:type="dxa" w:w="60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Database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Stores parent request, Requested Item, and Catalog Task records.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ServiceNow platform tables: sc_request, sc_req_item, sc_task</w:t>
            </w:r>
          </w:p>
        </w:tc>
      </w:tr>
      <w:tr>
        <w:trPr>
          <w:trHeight w:val="547"/>
        </w:trPr>
        <w:tc>
          <w:tcPr>
            <w:tcW w:type="dxa" w:w="60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6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Cloud Database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Persistent storage managed by the hosted ServiceNow platform; database engine is abstracted from the project.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ServiceNow-managed data store (underlying engine not specified)</w:t>
            </w:r>
          </w:p>
        </w:tc>
      </w:tr>
      <w:tr>
        <w:trPr>
          <w:trHeight w:val="547"/>
        </w:trPr>
        <w:tc>
          <w:tcPr>
            <w:tcW w:type="dxa" w:w="60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7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File Storage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 separate file-storage component is identified as required by the documented workflow.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applicable / not specified</w:t>
            </w:r>
          </w:p>
        </w:tc>
      </w:tr>
      <w:tr>
        <w:trPr>
          <w:trHeight w:val="547"/>
        </w:trPr>
        <w:tc>
          <w:tcPr>
            <w:tcW w:type="dxa" w:w="60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8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External API-1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 third-party API is identified in the project scope.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None specified</w:t>
            </w:r>
          </w:p>
        </w:tc>
      </w:tr>
      <w:tr>
        <w:trPr>
          <w:trHeight w:val="547"/>
        </w:trPr>
        <w:tc>
          <w:tcPr>
            <w:tcW w:type="dxa" w:w="60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9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External API-2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 second external API is identified in the project scope.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None specified</w:t>
            </w:r>
          </w:p>
        </w:tc>
      </w:tr>
      <w:tr>
        <w:trPr>
          <w:trHeight w:val="547"/>
        </w:trPr>
        <w:tc>
          <w:tcPr>
            <w:tcW w:type="dxa" w:w="60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10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Machine Learning Model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 ML model is required for catalog intake, manager approval, or task routing.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Not applicable</w:t>
            </w:r>
          </w:p>
        </w:tc>
      </w:tr>
      <w:tr>
        <w:trPr>
          <w:trHeight w:val="547"/>
        </w:trPr>
        <w:tc>
          <w:tcPr>
            <w:tcW w:type="dxa" w:w="605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3"/>
              </w:rPr>
              <w:t>11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Infrastructure (Server / Cloud)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Accessed by users over a browser; application logic and record storage are hosted in the ServiceNow instance.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3"/>
              </w:rPr>
              <w:t>Hosted ServiceNow instance; local server configuration not applicable</w:t>
            </w:r>
          </w:p>
        </w:tc>
      </w:tr>
    </w:tbl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color w:val="1C4C5C"/>
          <w:sz w:val="28"/>
        </w:rPr>
        <w:t>Table-2: Application Characteristics</w:t>
      </w:r>
    </w:p>
    <w:p>
      <w:pPr>
        <w:spacing w:after="80"/>
      </w:pPr>
      <w:r>
        <w:t>The characteristics below describe the architectural approach and design expectations. Instance-specific security settings, availability commitments, and performance limits must be confirmed in the target ServiceNow environment.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2232"/>
        <w:gridCol w:w="4968"/>
        <w:gridCol w:w="2232"/>
      </w:tblGrid>
      <w:tr>
        <w:trPr>
          <w:tblHeader w:val="true"/>
        </w:trPr>
        <w:tc>
          <w:tcPr>
            <w:tcW w:type="dxa" w:w="2700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S.No</w:t>
            </w:r>
          </w:p>
        </w:tc>
        <w:tc>
          <w:tcPr>
            <w:tcW w:type="dxa" w:w="2700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Characteristics</w:t>
            </w:r>
          </w:p>
        </w:tc>
        <w:tc>
          <w:tcPr>
            <w:tcW w:type="dxa" w:w="2700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2700"/>
            <w:vAlign w:val="center"/>
            <w:shd w:fill="1C4C5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Technology</w:t>
            </w:r>
          </w:p>
        </w:tc>
      </w:tr>
      <w:tr>
        <w:trPr>
          <w:trHeight w:val="1181"/>
        </w:trPr>
        <w:tc>
          <w:tcPr>
            <w:tcW w:type="dxa" w:w="648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Open-Source Frameworks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No separate open-source application framework is identified. The solution primarily uses native ServiceNow platform configuration rather than a custom React/Angular application.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ServiceNow Service Catalog and Flow Designer</w:t>
            </w:r>
          </w:p>
        </w:tc>
      </w:tr>
      <w:tr>
        <w:trPr>
          <w:trHeight w:val="1181"/>
        </w:trPr>
        <w:tc>
          <w:tcPr>
            <w:tcW w:type="dxa" w:w="648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2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Security Implementations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Use platform authentication, roles, and access controls configured in the ServiceNow instance. Limit access to request, approval, and fulfillment records according to user responsibilities. Exact ACLs/roles must be verified in the target instance.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ServiceNow roles / ACLs (configuration-dependent)</w:t>
            </w:r>
          </w:p>
        </w:tc>
      </w:tr>
      <w:tr>
        <w:trPr>
          <w:trHeight w:val="1181"/>
        </w:trPr>
        <w:tc>
          <w:tcPr>
            <w:tcW w:type="dxa" w:w="648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3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Scalable Architecture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Catalog items, flow configuration, and standard platform tables provide a platform-managed pattern for handling additional software request types, subject to instance capacity and governance.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Hosted ServiceNow platform</w:t>
            </w:r>
          </w:p>
        </w:tc>
      </w:tr>
      <w:tr>
        <w:trPr>
          <w:trHeight w:val="1181"/>
        </w:trPr>
        <w:tc>
          <w:tcPr>
            <w:tcW w:type="dxa" w:w="648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4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Availability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Availability depends on the ServiceNow service and the target instance's service commitments and configuration. No project-specific uptime SLA or redundant deployment is specified in the supplied artifacts.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ServiceNow hosting; provider SLA to be confirmed</w:t>
            </w:r>
          </w:p>
        </w:tc>
      </w:tr>
      <w:tr>
        <w:trPr>
          <w:trHeight w:val="1181"/>
        </w:trPr>
        <w:tc>
          <w:tcPr>
            <w:tcW w:type="dxa" w:w="648"/>
            <w:vAlign w:val="center"/>
            <w:shd w:fill="EAF1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5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Performance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Keep the form focused, avoid unnecessary flow actions, and limit notifications to relevant events. No measured throughput, response-time target, or cache/CDN layer is specified.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Native ServiceNow form and Flow Designer; validate in testing</w:t>
            </w:r>
          </w:p>
        </w:tc>
      </w:tr>
    </w:tbl>
    <w:p>
      <w:pPr>
        <w:pStyle w:val="Heading1"/>
        <w:spacing w:before="60" w:after="40"/>
      </w:pPr>
      <w:r>
        <w:t>Architecture notes</w:t>
      </w:r>
    </w:p>
    <w:p>
      <w:pPr>
        <w:pStyle w:val="ListBullet"/>
        <w:spacing w:after="20"/>
        <w:ind w:left="288" w:hanging="144"/>
      </w:pPr>
      <w:r>
        <w:t>The diagram is a conceptual representation of the intended request lifecycle, not a claim that every connector has been verified in a live instance.</w:t>
      </w:r>
    </w:p>
    <w:p>
      <w:pPr>
        <w:pStyle w:val="ListBullet"/>
        <w:spacing w:after="20"/>
        <w:ind w:left="288" w:hanging="144"/>
      </w:pPr>
      <w:r>
        <w:t>The platform-managed database is shown logically; the project does not specify the underlying database engine.</w:t>
      </w:r>
    </w:p>
    <w:p>
      <w:pPr>
        <w:pStyle w:val="ListBullet"/>
        <w:spacing w:after="20"/>
        <w:ind w:left="288" w:hanging="144"/>
      </w:pPr>
      <w:r>
        <w:t>No third-party API or machine-learning model is identified as necessary for the documented core workflow.</w:t>
      </w:r>
    </w:p>
    <w:p>
      <w:pPr>
        <w:pStyle w:val="Heading1"/>
        <w:spacing w:before="60" w:after="40"/>
      </w:pPr>
      <w:r>
        <w:t>References</w:t>
      </w:r>
    </w:p>
    <w:p>
      <w:pPr>
        <w:pStyle w:val="ListBullet"/>
        <w:spacing w:after="0"/>
        <w:ind w:left="288" w:hanging="144"/>
      </w:pPr>
      <w:r>
        <w:t>C4 model: https://c4model.com/</w:t>
      </w:r>
    </w:p>
    <w:p>
      <w:pPr>
        <w:pStyle w:val="ListBullet"/>
        <w:spacing w:after="0"/>
        <w:ind w:left="288" w:hanging="144"/>
      </w:pPr>
      <w:r>
        <w:t>AWS Architecture: https://aws.amazon.com/architecture</w:t>
      </w:r>
    </w:p>
    <w:p>
      <w:pPr>
        <w:pStyle w:val="ListBullet"/>
        <w:spacing w:after="0"/>
        <w:ind w:left="288" w:hanging="144"/>
      </w:pPr>
      <w:r>
        <w:t>IBM Cloud Architecture: https://www.ibm.com/cloud/architecture</w:t>
      </w:r>
    </w:p>
    <w:sectPr w:rsidR="00FC693F" w:rsidRPr="0006063C" w:rsidSect="00034616">
      <w:footerReference w:type="default" r:id="rId10"/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747C"/>
        <w:sz w:val="13"/>
      </w:rPr>
      <w:t>SOFTWARE INSTALLATION REQUEST - SERVICENOW  |  PROJECT DESIGN PHASE-II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color w:val="2B31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4C5C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4C5C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C4C5C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