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008C95"/>
          <w:sz w:val="22"/>
        </w:rPr>
        <w:t>SKUNKWORKS ACADEMY</w:t>
      </w:r>
    </w:p>
    <w:p>
      <w:pPr>
        <w:jc w:val="center"/>
      </w:pPr>
      <w:r>
        <w:rPr>
          <w:rFonts w:ascii="Aptos" w:hAnsi="Aptos" w:eastAsia="Aptos"/>
          <w:b/>
          <w:color w:val="005A9C"/>
          <w:sz w:val="36"/>
        </w:rPr>
        <w:t>CESE323 ERC1.0</w:t>
      </w:r>
    </w:p>
    <w:p>
      <w:pPr>
        <w:jc w:val="center"/>
      </w:pPr>
      <w:r>
        <w:rPr>
          <w:rFonts w:ascii="Aptos" w:hAnsi="Aptos" w:eastAsia="Aptos"/>
          <w:b/>
          <w:color w:val="122A44"/>
          <w:sz w:val="44"/>
        </w:rPr>
        <w:t>Cloud Security Envisioning &amp; Strategy</w:t>
      </w:r>
    </w:p>
    <w:p>
      <w:pPr>
        <w:jc w:val="center"/>
      </w:pPr>
      <w:r>
        <w:rPr>
          <w:rFonts w:ascii="Aptos" w:hAnsi="Aptos" w:eastAsia="Aptos"/>
          <w:b/>
          <w:color w:val="122A44"/>
          <w:sz w:val="56"/>
        </w:rPr>
        <w:t>Lab Planning Guide</w:t>
      </w:r>
    </w:p>
    <w:p>
      <w:pPr>
        <w:jc w:val="center"/>
      </w:pPr>
      <w:r>
        <w:rPr>
          <w:rFonts w:ascii="Aptos" w:hAnsi="Aptos" w:eastAsia="Aptos"/>
          <w:color w:val="333333"/>
          <w:sz w:val="22"/>
        </w:rPr>
        <w:t>Environment, tenant, permissions, licensing, cost exposure, live-environment safety, and sandbox fallback planning</w:t>
      </w:r>
    </w:p>
    <w:tbl>
      <w:tblPr>
        <w:tblW w:type="auto" w:w="0"/>
        <w:jc w:val="center"/>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3408"/>
        <w:gridCol w:w="3408"/>
        <w:gridCol w:w="3408"/>
      </w:tblGrid>
      <w:tr>
        <w:tc>
          <w:tcPr>
            <w:tcW w:type="dxa" w:w="3408"/>
            <w:shd w:fill="EAF4FB"/>
            <w:tcMar>
              <w:top w:w="180" w:type="dxa"/>
              <w:start w:w="140" w:type="dxa"/>
              <w:bottom w:w="180" w:type="dxa"/>
              <w:end w:w="140" w:type="dxa"/>
            </w:tcMar>
            <w:vAlign w:val="center"/>
          </w:tcPr>
          <w:p>
            <w:pPr>
              <w:jc w:val="center"/>
            </w:pPr>
            <w:r>
              <w:rPr>
                <w:b/>
                <w:color w:val="122A44"/>
                <w:sz w:val="20"/>
              </w:rPr>
              <w:t>Audience</w:t>
              <w:br/>
            </w:r>
            <w:r>
              <w:rPr>
                <w:sz w:val="18"/>
              </w:rPr>
              <w:t>Instructors, lab leads, course developers</w:t>
            </w:r>
          </w:p>
        </w:tc>
        <w:tc>
          <w:tcPr>
            <w:tcW w:type="dxa" w:w="3408"/>
            <w:shd w:fill="E8F7F7"/>
            <w:tcMar>
              <w:top w:w="180" w:type="dxa"/>
              <w:start w:w="140" w:type="dxa"/>
              <w:bottom w:w="180" w:type="dxa"/>
              <w:end w:w="140" w:type="dxa"/>
            </w:tcMar>
            <w:vAlign w:val="center"/>
          </w:tcPr>
          <w:p>
            <w:pPr>
              <w:jc w:val="center"/>
            </w:pPr>
            <w:r>
              <w:rPr>
                <w:b/>
                <w:color w:val="122A44"/>
                <w:sz w:val="20"/>
              </w:rPr>
              <w:t>Delivery</w:t>
              <w:br/>
            </w:r>
            <w:r>
              <w:rPr>
                <w:sz w:val="18"/>
              </w:rPr>
              <w:t>Instructor-led, online, or self-paced</w:t>
            </w:r>
          </w:p>
        </w:tc>
        <w:tc>
          <w:tcPr>
            <w:tcW w:type="dxa" w:w="3408"/>
            <w:shd w:fill="EAF4FB"/>
            <w:tcMar>
              <w:top w:w="180" w:type="dxa"/>
              <w:start w:w="140" w:type="dxa"/>
              <w:bottom w:w="180" w:type="dxa"/>
              <w:end w:w="140" w:type="dxa"/>
            </w:tcMar>
            <w:vAlign w:val="center"/>
          </w:tcPr>
          <w:p>
            <w:pPr>
              <w:jc w:val="center"/>
            </w:pPr>
            <w:r>
              <w:rPr>
                <w:b/>
                <w:color w:val="122A44"/>
                <w:sz w:val="20"/>
              </w:rPr>
              <w:t>Status</w:t>
              <w:br/>
            </w:r>
            <w:r>
              <w:rPr>
                <w:sz w:val="18"/>
              </w:rPr>
              <w:t>Ready for courseware packaging</w:t>
            </w:r>
          </w:p>
        </w:tc>
      </w:tr>
    </w:tbl>
    <w:p/>
    <w:tbl>
      <w:tblPr>
        <w:tblStyle w:val="TableGrid"/>
        <w:tblW w:type="auto" w:w="0"/>
        <w:jc w:val="center"/>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12"/>
        <w:gridCol w:w="5112"/>
      </w:tblGrid>
      <w:tr>
        <w:trPr>
          <w:trHeight w:hRule="atLeast"/>
          <w:tblHeader w:val="true"/>
        </w:trPr>
        <w:tc>
          <w:tcPr>
            <w:tcW w:type="dxa" w:w="2304"/>
            <w:shd w:fill="005A9C"/>
            <w:vAlign w:val="top"/>
            <w:tcMar>
              <w:top w:w="90" w:type="dxa"/>
              <w:start w:w="90" w:type="dxa"/>
              <w:bottom w:w="90" w:type="dxa"/>
              <w:end w:w="90" w:type="dxa"/>
            </w:tcMar>
          </w:tcPr>
          <w:p>
            <w:pPr>
              <w:spacing w:after="0"/>
            </w:pPr>
            <w:r>
              <w:rPr>
                <w:b/>
                <w:color w:val="FFFFFF"/>
                <w:sz w:val="18"/>
              </w:rPr>
            </w:r>
            <w:r>
              <w:rPr>
                <w:b/>
                <w:color w:val="FFFFFF"/>
                <w:sz w:val="18"/>
              </w:rPr>
              <w:t>Field</w:t>
            </w:r>
          </w:p>
        </w:tc>
        <w:tc>
          <w:tcPr>
            <w:tcW w:type="dxa" w:w="8352"/>
            <w:shd w:fill="005A9C"/>
            <w:vAlign w:val="top"/>
            <w:tcMar>
              <w:top w:w="90" w:type="dxa"/>
              <w:start w:w="90" w:type="dxa"/>
              <w:bottom w:w="90" w:type="dxa"/>
              <w:end w:w="90" w:type="dxa"/>
            </w:tcMar>
          </w:tcPr>
          <w:p>
            <w:pPr>
              <w:spacing w:after="0"/>
            </w:pPr>
            <w:r>
              <w:rPr>
                <w:b/>
                <w:color w:val="FFFFFF"/>
                <w:sz w:val="18"/>
              </w:rPr>
            </w:r>
            <w:r>
              <w:rPr>
                <w:b/>
                <w:color w:val="FFFFFF"/>
                <w:sz w:val="18"/>
              </w:rPr>
              <w:t>Value</w:t>
            </w:r>
          </w:p>
        </w:tc>
      </w:tr>
      <w:tr>
        <w:trPr>
          <w:trHeight w:hRule="atLeast"/>
        </w:trPr>
        <w:tc>
          <w:tcPr>
            <w:tcW w:type="dxa" w:w="2304"/>
            <w:vAlign w:val="top"/>
            <w:tcMar>
              <w:top w:w="90" w:type="dxa"/>
              <w:start w:w="90" w:type="dxa"/>
              <w:bottom w:w="90" w:type="dxa"/>
              <w:end w:w="90" w:type="dxa"/>
            </w:tcMar>
          </w:tcPr>
          <w:p>
            <w:pPr>
              <w:spacing w:after="0"/>
            </w:pPr>
            <w:r>
              <w:rPr>
                <w:b/>
                <w:color w:val="122A44"/>
                <w:sz w:val="18"/>
              </w:rPr>
            </w:r>
            <w:r>
              <w:rPr>
                <w:b/>
                <w:color w:val="122A44"/>
                <w:sz w:val="18"/>
              </w:rPr>
              <w:t>Course</w:t>
            </w:r>
          </w:p>
        </w:tc>
        <w:tc>
          <w:tcPr>
            <w:tcW w:type="dxa" w:w="8352"/>
            <w:vAlign w:val="top"/>
            <w:tcMar>
              <w:top w:w="90" w:type="dxa"/>
              <w:start w:w="90" w:type="dxa"/>
              <w:bottom w:w="90" w:type="dxa"/>
              <w:end w:w="90" w:type="dxa"/>
            </w:tcMar>
          </w:tcPr>
          <w:p>
            <w:pPr>
              <w:spacing w:after="0"/>
            </w:pPr>
            <w:r>
              <w:rPr>
                <w:sz w:val="18"/>
              </w:rPr>
            </w:r>
            <w:r>
              <w:rPr>
                <w:b w:val="0"/>
                <w:sz w:val="18"/>
              </w:rPr>
              <w:t>CESE323 ERC1.0 — Cloud Security Envisioning &amp; Strategy</w:t>
            </w:r>
          </w:p>
        </w:tc>
      </w:tr>
      <w:tr>
        <w:trPr>
          <w:trHeight w:hRule="atLeast"/>
        </w:trPr>
        <w:tc>
          <w:tcPr>
            <w:tcW w:type="dxa" w:w="2304"/>
            <w:vAlign w:val="top"/>
            <w:tcMar>
              <w:top w:w="90" w:type="dxa"/>
              <w:start w:w="90" w:type="dxa"/>
              <w:bottom w:w="90" w:type="dxa"/>
              <w:end w:w="90" w:type="dxa"/>
            </w:tcMar>
            <w:shd w:fill="FAFCFE"/>
          </w:tcPr>
          <w:p>
            <w:pPr>
              <w:spacing w:after="0"/>
            </w:pPr>
            <w:r>
              <w:rPr>
                <w:b/>
                <w:color w:val="122A44"/>
                <w:sz w:val="18"/>
              </w:rPr>
            </w:r>
            <w:r>
              <w:rPr>
                <w:b/>
                <w:color w:val="122A44"/>
                <w:sz w:val="18"/>
              </w:rPr>
              <w:t>Document</w:t>
            </w:r>
          </w:p>
        </w:tc>
        <w:tc>
          <w:tcPr>
            <w:tcW w:type="dxa" w:w="8352"/>
            <w:vAlign w:val="top"/>
            <w:tcMar>
              <w:top w:w="90" w:type="dxa"/>
              <w:start w:w="90" w:type="dxa"/>
              <w:bottom w:w="90" w:type="dxa"/>
              <w:end w:w="90" w:type="dxa"/>
            </w:tcMar>
            <w:shd w:fill="FAFCFE"/>
          </w:tcPr>
          <w:p>
            <w:pPr>
              <w:spacing w:after="0"/>
            </w:pPr>
            <w:r>
              <w:rPr>
                <w:sz w:val="18"/>
              </w:rPr>
            </w:r>
            <w:r>
              <w:rPr>
                <w:b w:val="0"/>
                <w:sz w:val="18"/>
              </w:rPr>
              <w:t>Lab Planning Guide</w:t>
            </w:r>
          </w:p>
        </w:tc>
      </w:tr>
      <w:tr>
        <w:trPr>
          <w:trHeight w:hRule="atLeast"/>
        </w:trPr>
        <w:tc>
          <w:tcPr>
            <w:tcW w:type="dxa" w:w="2304"/>
            <w:vAlign w:val="top"/>
            <w:tcMar>
              <w:top w:w="90" w:type="dxa"/>
              <w:start w:w="90" w:type="dxa"/>
              <w:bottom w:w="90" w:type="dxa"/>
              <w:end w:w="90" w:type="dxa"/>
            </w:tcMar>
          </w:tcPr>
          <w:p>
            <w:pPr>
              <w:spacing w:after="0"/>
            </w:pPr>
            <w:r>
              <w:rPr>
                <w:b/>
                <w:color w:val="122A44"/>
                <w:sz w:val="18"/>
              </w:rPr>
            </w:r>
            <w:r>
              <w:rPr>
                <w:b/>
                <w:color w:val="122A44"/>
                <w:sz w:val="18"/>
              </w:rPr>
              <w:t>Prepared for</w:t>
            </w:r>
          </w:p>
        </w:tc>
        <w:tc>
          <w:tcPr>
            <w:tcW w:type="dxa" w:w="8352"/>
            <w:vAlign w:val="top"/>
            <w:tcMar>
              <w:top w:w="90" w:type="dxa"/>
              <w:start w:w="90" w:type="dxa"/>
              <w:bottom w:w="90" w:type="dxa"/>
              <w:end w:w="90" w:type="dxa"/>
            </w:tcMar>
          </w:tcPr>
          <w:p>
            <w:pPr>
              <w:spacing w:after="0"/>
            </w:pPr>
            <w:r>
              <w:rPr>
                <w:sz w:val="18"/>
              </w:rPr>
            </w:r>
            <w:r>
              <w:rPr>
                <w:b w:val="0"/>
                <w:sz w:val="18"/>
              </w:rPr>
              <w:t>Skunkworks Academy courseware development</w:t>
            </w:r>
          </w:p>
        </w:tc>
      </w:tr>
      <w:tr>
        <w:trPr>
          <w:trHeight w:hRule="atLeast"/>
        </w:trPr>
        <w:tc>
          <w:tcPr>
            <w:tcW w:type="dxa" w:w="2304"/>
            <w:vAlign w:val="top"/>
            <w:tcMar>
              <w:top w:w="90" w:type="dxa"/>
              <w:start w:w="90" w:type="dxa"/>
              <w:bottom w:w="90" w:type="dxa"/>
              <w:end w:w="90" w:type="dxa"/>
            </w:tcMar>
            <w:shd w:fill="FAFCFE"/>
          </w:tcPr>
          <w:p>
            <w:pPr>
              <w:spacing w:after="0"/>
            </w:pPr>
            <w:r>
              <w:rPr>
                <w:b/>
                <w:color w:val="122A44"/>
                <w:sz w:val="18"/>
              </w:rPr>
            </w:r>
            <w:r>
              <w:rPr>
                <w:b/>
                <w:color w:val="122A44"/>
                <w:sz w:val="18"/>
              </w:rPr>
              <w:t>Version</w:t>
            </w:r>
          </w:p>
        </w:tc>
        <w:tc>
          <w:tcPr>
            <w:tcW w:type="dxa" w:w="8352"/>
            <w:vAlign w:val="top"/>
            <w:tcMar>
              <w:top w:w="90" w:type="dxa"/>
              <w:start w:w="90" w:type="dxa"/>
              <w:bottom w:w="90" w:type="dxa"/>
              <w:end w:w="90" w:type="dxa"/>
            </w:tcMar>
            <w:shd w:fill="FAFCFE"/>
          </w:tcPr>
          <w:p>
            <w:pPr>
              <w:spacing w:after="0"/>
            </w:pPr>
            <w:r>
              <w:rPr>
                <w:sz w:val="18"/>
              </w:rPr>
            </w:r>
            <w:r>
              <w:rPr>
                <w:b w:val="0"/>
                <w:sz w:val="18"/>
              </w:rPr>
              <w:t>ERC1.0 draft</w:t>
            </w:r>
          </w:p>
        </w:tc>
      </w:tr>
      <w:tr>
        <w:trPr>
          <w:trHeight w:hRule="atLeast"/>
        </w:trPr>
        <w:tc>
          <w:tcPr>
            <w:tcW w:type="dxa" w:w="2304"/>
            <w:vAlign w:val="top"/>
            <w:tcMar>
              <w:top w:w="90" w:type="dxa"/>
              <w:start w:w="90" w:type="dxa"/>
              <w:bottom w:w="90" w:type="dxa"/>
              <w:end w:w="90" w:type="dxa"/>
            </w:tcMar>
          </w:tcPr>
          <w:p>
            <w:pPr>
              <w:spacing w:after="0"/>
            </w:pPr>
            <w:r>
              <w:rPr>
                <w:b/>
                <w:color w:val="122A44"/>
                <w:sz w:val="18"/>
              </w:rPr>
            </w:r>
            <w:r>
              <w:rPr>
                <w:b/>
                <w:color w:val="122A44"/>
                <w:sz w:val="18"/>
              </w:rPr>
              <w:t>Prepared date</w:t>
            </w:r>
          </w:p>
        </w:tc>
        <w:tc>
          <w:tcPr>
            <w:tcW w:type="dxa" w:w="8352"/>
            <w:vAlign w:val="top"/>
            <w:tcMar>
              <w:top w:w="90" w:type="dxa"/>
              <w:start w:w="90" w:type="dxa"/>
              <w:bottom w:w="90" w:type="dxa"/>
              <w:end w:w="90" w:type="dxa"/>
            </w:tcMar>
          </w:tcPr>
          <w:p>
            <w:pPr>
              <w:spacing w:after="0"/>
            </w:pPr>
            <w:r>
              <w:rPr>
                <w:sz w:val="18"/>
              </w:rPr>
            </w:r>
            <w:r>
              <w:rPr>
                <w:b w:val="0"/>
                <w:sz w:val="18"/>
              </w:rPr>
              <w:t>25 May 2026</w:t>
            </w:r>
          </w:p>
        </w:tc>
      </w:tr>
      <w:tr>
        <w:trPr>
          <w:trHeight w:hRule="atLeast"/>
        </w:trPr>
        <w:tc>
          <w:tcPr>
            <w:tcW w:type="dxa" w:w="2304"/>
            <w:vAlign w:val="top"/>
            <w:tcMar>
              <w:top w:w="90" w:type="dxa"/>
              <w:start w:w="90" w:type="dxa"/>
              <w:bottom w:w="90" w:type="dxa"/>
              <w:end w:w="90" w:type="dxa"/>
            </w:tcMar>
            <w:shd w:fill="FAFCFE"/>
          </w:tcPr>
          <w:p>
            <w:pPr>
              <w:spacing w:after="0"/>
            </w:pPr>
            <w:r>
              <w:rPr>
                <w:b/>
                <w:color w:val="122A44"/>
                <w:sz w:val="18"/>
              </w:rPr>
            </w:r>
            <w:r>
              <w:rPr>
                <w:b/>
                <w:color w:val="122A44"/>
                <w:sz w:val="18"/>
              </w:rPr>
              <w:t>Primary use</w:t>
            </w:r>
          </w:p>
        </w:tc>
        <w:tc>
          <w:tcPr>
            <w:tcW w:type="dxa" w:w="8352"/>
            <w:vAlign w:val="top"/>
            <w:tcMar>
              <w:top w:w="90" w:type="dxa"/>
              <w:start w:w="90" w:type="dxa"/>
              <w:bottom w:w="90" w:type="dxa"/>
              <w:end w:w="90" w:type="dxa"/>
            </w:tcMar>
            <w:shd w:fill="FAFCFE"/>
          </w:tcPr>
          <w:p>
            <w:pPr>
              <w:spacing w:after="0"/>
            </w:pPr>
            <w:r>
              <w:rPr>
                <w:sz w:val="18"/>
              </w:rPr>
            </w:r>
            <w:r>
              <w:rPr>
                <w:b w:val="0"/>
                <w:sz w:val="18"/>
              </w:rPr>
              <w:t>Lab readiness planning, instructor preparation, student pre-course guidance, and safe customer-environment review</w:t>
            </w:r>
          </w:p>
        </w:tc>
      </w:tr>
    </w:tbl>
    <w:p/>
    <w:p>
      <w:r>
        <w:rPr>
          <w:rFonts w:ascii="Aptos" w:hAnsi="Aptos" w:eastAsia="Aptos"/>
        </w:rPr>
        <w:br w:type="page"/>
      </w:r>
    </w:p>
    <w:p>
      <w:pPr>
        <w:pStyle w:val="Heading1"/>
        <w:keepNext/>
      </w:pPr>
      <w:r>
        <w:rPr>
          <w:rFonts w:ascii="Aptos" w:hAnsi="Aptos" w:eastAsia="Aptos"/>
        </w:rPr>
        <w:t>Purpose and Scope</w:t>
      </w:r>
    </w:p>
    <w:p>
      <w:r>
        <w:rPr>
          <w:rFonts w:ascii="Aptos" w:hAnsi="Aptos" w:eastAsia="Aptos"/>
          <w:b/>
        </w:rPr>
        <w:t xml:space="preserve">Purpose. </w:t>
      </w:r>
      <w:r>
        <w:rPr>
          <w:rFonts w:ascii="Aptos" w:hAnsi="Aptos" w:eastAsia="Aptos"/>
        </w:rPr>
        <w:t>This guide defines the lab planning baseline for CESE323 ERC1.0. It is intended to prevent delivery blockers by confirming the Azure environment, tenant access, permissions, licensing, cost controls, and live-environment guardrails before the course begins.</w:t>
      </w:r>
    </w:p>
    <w:p>
      <w:r>
        <w:rPr>
          <w:rFonts w:ascii="Aptos" w:hAnsi="Aptos" w:eastAsia="Aptos"/>
          <w:b/>
        </w:rPr>
        <w:t xml:space="preserve">Scope. </w:t>
      </w:r>
      <w:r>
        <w:rPr>
          <w:rFonts w:ascii="Aptos" w:hAnsi="Aptos" w:eastAsia="Aptos"/>
        </w:rPr>
        <w:t>The guide supports hands-on labs involving Microsoft Defender for Cloud, Cloud Security Posture Management (CSPM), Microsoft Defender workload protection plans, AI workload security, remediation planning, and live/customer-environment review. It also includes a sandbox alternative for learners without Azure tenant access.</w:t>
      </w:r>
    </w:p>
    <w:p>
      <w:pPr>
        <w:spacing w:before="120" w:after="160"/>
        <w:ind w:left="144" w:right="144"/>
        <w:shd w:fill="EAF4FB"/>
      </w:pPr>
      <w:r>
        <w:rPr>
          <w:rFonts w:ascii="Aptos" w:hAnsi="Aptos" w:eastAsia="Aptos"/>
          <w:b/>
          <w:color w:val="122A44"/>
          <w:sz w:val="20"/>
        </w:rPr>
        <w:t>Recommended operating principle: default to read-only review, use isolated lab resource groups for hands-on changes, and reserve tenant-wide or production-impacting changes for written, approved customer scopes.</w:t>
      </w:r>
    </w:p>
    <w:p>
      <w:pPr>
        <w:pStyle w:val="Heading1"/>
        <w:keepNext/>
      </w:pPr>
      <w:r>
        <w:rPr>
          <w:rFonts w:ascii="Aptos" w:hAnsi="Aptos" w:eastAsia="Aptos"/>
        </w:rPr>
        <w:t>Lab Planning Decisions</w:t>
      </w:r>
    </w:p>
    <w:tbl>
      <w:tblPr>
        <w:tblStyle w:val="TableGrid"/>
        <w:tblW w:type="auto" w:w="0"/>
        <w:jc w:val="center"/>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12"/>
        <w:gridCol w:w="5112"/>
      </w:tblGrid>
      <w:tr>
        <w:trPr>
          <w:trHeight w:hRule="atLeast"/>
          <w:tblHeader w:val="true"/>
        </w:trPr>
        <w:tc>
          <w:tcPr>
            <w:tcW w:type="dxa" w:w="3168"/>
            <w:shd w:fill="122A44"/>
            <w:vAlign w:val="top"/>
            <w:tcMar>
              <w:top w:w="90" w:type="dxa"/>
              <w:start w:w="90" w:type="dxa"/>
              <w:bottom w:w="90" w:type="dxa"/>
              <w:end w:w="90" w:type="dxa"/>
            </w:tcMar>
          </w:tcPr>
          <w:p>
            <w:pPr>
              <w:spacing w:after="0"/>
            </w:pPr>
            <w:r>
              <w:rPr>
                <w:b/>
                <w:color w:val="FFFFFF"/>
                <w:sz w:val="17"/>
              </w:rPr>
            </w:r>
            <w:r>
              <w:rPr>
                <w:b/>
                <w:color w:val="FFFFFF"/>
                <w:sz w:val="17"/>
              </w:rPr>
              <w:t>Decision Area</w:t>
            </w:r>
          </w:p>
        </w:tc>
        <w:tc>
          <w:tcPr>
            <w:tcW w:type="dxa" w:w="7488"/>
            <w:shd w:fill="122A44"/>
            <w:vAlign w:val="top"/>
            <w:tcMar>
              <w:top w:w="90" w:type="dxa"/>
              <w:start w:w="90" w:type="dxa"/>
              <w:bottom w:w="90" w:type="dxa"/>
              <w:end w:w="90" w:type="dxa"/>
            </w:tcMar>
          </w:tcPr>
          <w:p>
            <w:pPr>
              <w:spacing w:after="0"/>
            </w:pPr>
            <w:r>
              <w:rPr>
                <w:b/>
                <w:color w:val="FFFFFF"/>
                <w:sz w:val="17"/>
              </w:rPr>
            </w:r>
            <w:r>
              <w:rPr>
                <w:b/>
                <w:color w:val="FFFFFF"/>
                <w:sz w:val="17"/>
              </w:rPr>
              <w:t>Standard</w:t>
            </w:r>
          </w:p>
        </w:tc>
      </w:tr>
      <w:tr>
        <w:trPr>
          <w:trHeight w:hRule="atLeast"/>
        </w:trPr>
        <w:tc>
          <w:tcPr>
            <w:tcW w:type="dxa" w:w="3168"/>
            <w:vAlign w:val="top"/>
            <w:tcMar>
              <w:top w:w="90" w:type="dxa"/>
              <w:start w:w="90" w:type="dxa"/>
              <w:bottom w:w="90" w:type="dxa"/>
              <w:end w:w="90" w:type="dxa"/>
            </w:tcMar>
          </w:tcPr>
          <w:p>
            <w:pPr>
              <w:spacing w:after="0"/>
            </w:pPr>
            <w:r>
              <w:rPr>
                <w:b/>
                <w:color w:val="122A44"/>
                <w:sz w:val="17"/>
              </w:rPr>
            </w:r>
            <w:r>
              <w:rPr>
                <w:b/>
                <w:color w:val="122A44"/>
                <w:sz w:val="17"/>
              </w:rPr>
              <w:t>Default lab model</w:t>
            </w:r>
          </w:p>
        </w:tc>
        <w:tc>
          <w:tcPr>
            <w:tcW w:type="dxa" w:w="7488"/>
            <w:vAlign w:val="top"/>
            <w:tcMar>
              <w:top w:w="90" w:type="dxa"/>
              <w:start w:w="90" w:type="dxa"/>
              <w:bottom w:w="90" w:type="dxa"/>
              <w:end w:w="90" w:type="dxa"/>
            </w:tcMar>
          </w:tcPr>
          <w:p>
            <w:pPr>
              <w:spacing w:after="0"/>
            </w:pPr>
            <w:r>
              <w:rPr>
                <w:sz w:val="17"/>
              </w:rPr>
            </w:r>
            <w:r>
              <w:rPr>
                <w:b w:val="0"/>
                <w:sz w:val="17"/>
              </w:rPr>
              <w:t>Instructor-controlled Azure tenant with isolated resource groups per student/team.</w:t>
            </w:r>
          </w:p>
        </w:tc>
      </w:tr>
      <w:tr>
        <w:trPr>
          <w:trHeight w:hRule="atLeast"/>
        </w:trPr>
        <w:tc>
          <w:tcPr>
            <w:tcW w:type="dxa" w:w="3168"/>
            <w:vAlign w:val="top"/>
            <w:tcMar>
              <w:top w:w="90" w:type="dxa"/>
              <w:start w:w="90" w:type="dxa"/>
              <w:bottom w:w="90" w:type="dxa"/>
              <w:end w:w="90" w:type="dxa"/>
            </w:tcMar>
            <w:shd w:fill="FAFCFE"/>
          </w:tcPr>
          <w:p>
            <w:pPr>
              <w:spacing w:after="0"/>
            </w:pPr>
            <w:r>
              <w:rPr>
                <w:b/>
                <w:color w:val="122A44"/>
                <w:sz w:val="17"/>
              </w:rPr>
            </w:r>
            <w:r>
              <w:rPr>
                <w:b/>
                <w:color w:val="122A44"/>
                <w:sz w:val="17"/>
              </w:rPr>
              <w:t>Default permissions</w:t>
            </w:r>
          </w:p>
        </w:tc>
        <w:tc>
          <w:tcPr>
            <w:tcW w:type="dxa" w:w="7488"/>
            <w:vAlign w:val="top"/>
            <w:tcMar>
              <w:top w:w="90" w:type="dxa"/>
              <w:start w:w="90" w:type="dxa"/>
              <w:bottom w:w="90" w:type="dxa"/>
              <w:end w:w="90" w:type="dxa"/>
            </w:tcMar>
            <w:shd w:fill="FAFCFE"/>
          </w:tcPr>
          <w:p>
            <w:pPr>
              <w:spacing w:after="0"/>
            </w:pPr>
            <w:r>
              <w:rPr>
                <w:sz w:val="17"/>
              </w:rPr>
            </w:r>
            <w:r>
              <w:rPr>
                <w:b w:val="0"/>
                <w:sz w:val="17"/>
              </w:rPr>
              <w:t>Reader for students; Contributor only on assigned lab resource group; Security Admin/Owner reserved for instructor or lab lead.</w:t>
            </w:r>
          </w:p>
        </w:tc>
      </w:tr>
      <w:tr>
        <w:trPr>
          <w:trHeight w:hRule="atLeast"/>
        </w:trPr>
        <w:tc>
          <w:tcPr>
            <w:tcW w:type="dxa" w:w="3168"/>
            <w:vAlign w:val="top"/>
            <w:tcMar>
              <w:top w:w="90" w:type="dxa"/>
              <w:start w:w="90" w:type="dxa"/>
              <w:bottom w:w="90" w:type="dxa"/>
              <w:end w:w="90" w:type="dxa"/>
            </w:tcMar>
          </w:tcPr>
          <w:p>
            <w:pPr>
              <w:spacing w:after="0"/>
            </w:pPr>
            <w:r>
              <w:rPr>
                <w:b/>
                <w:color w:val="122A44"/>
                <w:sz w:val="17"/>
              </w:rPr>
            </w:r>
            <w:r>
              <w:rPr>
                <w:b/>
                <w:color w:val="122A44"/>
                <w:sz w:val="17"/>
              </w:rPr>
              <w:t>Live tenant posture</w:t>
            </w:r>
          </w:p>
        </w:tc>
        <w:tc>
          <w:tcPr>
            <w:tcW w:type="dxa" w:w="7488"/>
            <w:vAlign w:val="top"/>
            <w:tcMar>
              <w:top w:w="90" w:type="dxa"/>
              <w:start w:w="90" w:type="dxa"/>
              <w:bottom w:w="90" w:type="dxa"/>
              <w:end w:w="90" w:type="dxa"/>
            </w:tcMar>
          </w:tcPr>
          <w:p>
            <w:pPr>
              <w:spacing w:after="0"/>
            </w:pPr>
            <w:r>
              <w:rPr>
                <w:sz w:val="17"/>
              </w:rPr>
            </w:r>
            <w:r>
              <w:rPr>
                <w:b w:val="0"/>
                <w:sz w:val="17"/>
              </w:rPr>
              <w:t>Read-only by default. Any configuration change requires written approval, defined scope, rollback plan, and cost approval.</w:t>
            </w:r>
          </w:p>
        </w:tc>
      </w:tr>
      <w:tr>
        <w:trPr>
          <w:trHeight w:hRule="atLeast"/>
        </w:trPr>
        <w:tc>
          <w:tcPr>
            <w:tcW w:type="dxa" w:w="3168"/>
            <w:vAlign w:val="top"/>
            <w:tcMar>
              <w:top w:w="90" w:type="dxa"/>
              <w:start w:w="90" w:type="dxa"/>
              <w:bottom w:w="90" w:type="dxa"/>
              <w:end w:w="90" w:type="dxa"/>
            </w:tcMar>
            <w:shd w:fill="FAFCFE"/>
          </w:tcPr>
          <w:p>
            <w:pPr>
              <w:spacing w:after="0"/>
            </w:pPr>
            <w:r>
              <w:rPr>
                <w:b/>
                <w:color w:val="122A44"/>
                <w:sz w:val="17"/>
              </w:rPr>
            </w:r>
            <w:r>
              <w:rPr>
                <w:b/>
                <w:color w:val="122A44"/>
                <w:sz w:val="17"/>
              </w:rPr>
              <w:t>Workload module selection</w:t>
            </w:r>
          </w:p>
        </w:tc>
        <w:tc>
          <w:tcPr>
            <w:tcW w:type="dxa" w:w="7488"/>
            <w:vAlign w:val="top"/>
            <w:tcMar>
              <w:top w:w="90" w:type="dxa"/>
              <w:start w:w="90" w:type="dxa"/>
              <w:bottom w:w="90" w:type="dxa"/>
              <w:end w:w="90" w:type="dxa"/>
            </w:tcMar>
            <w:shd w:fill="FAFCFE"/>
          </w:tcPr>
          <w:p>
            <w:pPr>
              <w:spacing w:after="0"/>
            </w:pPr>
            <w:r>
              <w:rPr>
                <w:sz w:val="17"/>
              </w:rPr>
            </w:r>
            <w:r>
              <w:rPr>
                <w:b w:val="0"/>
                <w:sz w:val="17"/>
              </w:rPr>
              <w:t>Select only two live workload modules for one-day delivery unless delivery duration and lab readiness allow more.</w:t>
            </w:r>
          </w:p>
        </w:tc>
      </w:tr>
      <w:tr>
        <w:trPr>
          <w:trHeight w:hRule="atLeast"/>
        </w:trPr>
        <w:tc>
          <w:tcPr>
            <w:tcW w:type="dxa" w:w="3168"/>
            <w:vAlign w:val="top"/>
            <w:tcMar>
              <w:top w:w="90" w:type="dxa"/>
              <w:start w:w="90" w:type="dxa"/>
              <w:bottom w:w="90" w:type="dxa"/>
              <w:end w:w="90" w:type="dxa"/>
            </w:tcMar>
          </w:tcPr>
          <w:p>
            <w:pPr>
              <w:spacing w:after="0"/>
            </w:pPr>
            <w:r>
              <w:rPr>
                <w:b/>
                <w:color w:val="122A44"/>
                <w:sz w:val="17"/>
              </w:rPr>
            </w:r>
            <w:r>
              <w:rPr>
                <w:b/>
                <w:color w:val="122A44"/>
                <w:sz w:val="17"/>
              </w:rPr>
              <w:t>AI lab posture</w:t>
            </w:r>
          </w:p>
        </w:tc>
        <w:tc>
          <w:tcPr>
            <w:tcW w:type="dxa" w:w="7488"/>
            <w:vAlign w:val="top"/>
            <w:tcMar>
              <w:top w:w="90" w:type="dxa"/>
              <w:start w:w="90" w:type="dxa"/>
              <w:bottom w:w="90" w:type="dxa"/>
              <w:end w:w="90" w:type="dxa"/>
            </w:tcMar>
          </w:tcPr>
          <w:p>
            <w:pPr>
              <w:spacing w:after="0"/>
            </w:pPr>
            <w:r>
              <w:rPr>
                <w:sz w:val="17"/>
              </w:rPr>
            </w:r>
            <w:r>
              <w:rPr>
                <w:b w:val="0"/>
                <w:sz w:val="17"/>
              </w:rPr>
              <w:t>Use demo or sandbox mode unless Azure AI/Foundry resources, data governance, and cost controls are confirmed.</w:t>
            </w:r>
          </w:p>
        </w:tc>
      </w:tr>
      <w:tr>
        <w:trPr>
          <w:trHeight w:hRule="atLeast"/>
        </w:trPr>
        <w:tc>
          <w:tcPr>
            <w:tcW w:type="dxa" w:w="3168"/>
            <w:vAlign w:val="top"/>
            <w:tcMar>
              <w:top w:w="90" w:type="dxa"/>
              <w:start w:w="90" w:type="dxa"/>
              <w:bottom w:w="90" w:type="dxa"/>
              <w:end w:w="90" w:type="dxa"/>
            </w:tcMar>
            <w:shd w:fill="FAFCFE"/>
          </w:tcPr>
          <w:p>
            <w:pPr>
              <w:spacing w:after="0"/>
            </w:pPr>
            <w:r>
              <w:rPr>
                <w:b/>
                <w:color w:val="122A44"/>
                <w:sz w:val="17"/>
              </w:rPr>
            </w:r>
            <w:r>
              <w:rPr>
                <w:b/>
                <w:color w:val="122A44"/>
                <w:sz w:val="17"/>
              </w:rPr>
              <w:t>Cost governance</w:t>
            </w:r>
          </w:p>
        </w:tc>
        <w:tc>
          <w:tcPr>
            <w:tcW w:type="dxa" w:w="7488"/>
            <w:vAlign w:val="top"/>
            <w:tcMar>
              <w:top w:w="90" w:type="dxa"/>
              <w:start w:w="90" w:type="dxa"/>
              <w:bottom w:w="90" w:type="dxa"/>
              <w:end w:w="90" w:type="dxa"/>
            </w:tcMar>
            <w:shd w:fill="FAFCFE"/>
          </w:tcPr>
          <w:p>
            <w:pPr>
              <w:spacing w:after="0"/>
            </w:pPr>
            <w:r>
              <w:rPr>
                <w:sz w:val="17"/>
              </w:rPr>
            </w:r>
            <w:r>
              <w:rPr>
                <w:b w:val="0"/>
                <w:sz w:val="17"/>
              </w:rPr>
              <w:t>Use budget alerts, scoped plan enablement, same-day cleanup, and post-lab spend review.</w:t>
            </w:r>
          </w:p>
        </w:tc>
      </w:tr>
    </w:tbl>
    <w:p/>
    <w:p>
      <w:pPr>
        <w:pStyle w:val="Heading1"/>
        <w:keepNext/>
      </w:pPr>
      <w:r>
        <w:rPr>
          <w:rFonts w:ascii="Aptos" w:hAnsi="Aptos" w:eastAsia="Aptos"/>
        </w:rPr>
        <w:t>1. Lab Environment Requirements</w:t>
      </w:r>
    </w:p>
    <w:p>
      <w:pPr>
        <w:pStyle w:val="Heading2"/>
        <w:keepNext/>
      </w:pPr>
      <w:r>
        <w:rPr>
          <w:rFonts w:ascii="Aptos" w:hAnsi="Aptos" w:eastAsia="Aptos"/>
        </w:rPr>
        <w:t>1.1 Minimum environment baseline</w:t>
      </w:r>
    </w:p>
    <w:tbl>
      <w:tblPr>
        <w:tblStyle w:val="TableGrid"/>
        <w:tblW w:type="auto" w:w="0"/>
        <w:jc w:val="center"/>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12"/>
        <w:gridCol w:w="5112"/>
      </w:tblGrid>
      <w:tr>
        <w:trPr>
          <w:trHeight w:hRule="atLeast"/>
          <w:tblHeader w:val="true"/>
        </w:trPr>
        <w:tc>
          <w:tcPr>
            <w:tcW w:type="dxa" w:w="3024"/>
            <w:shd w:fill="005A9C"/>
            <w:vAlign w:val="top"/>
            <w:tcMar>
              <w:top w:w="90" w:type="dxa"/>
              <w:start w:w="90" w:type="dxa"/>
              <w:bottom w:w="90" w:type="dxa"/>
              <w:end w:w="90" w:type="dxa"/>
            </w:tcMar>
          </w:tcPr>
          <w:p>
            <w:pPr>
              <w:spacing w:after="0"/>
            </w:pPr>
            <w:r>
              <w:rPr>
                <w:b/>
                <w:color w:val="FFFFFF"/>
                <w:sz w:val="17"/>
              </w:rPr>
            </w:r>
            <w:r>
              <w:rPr>
                <w:b/>
                <w:color w:val="FFFFFF"/>
                <w:sz w:val="17"/>
              </w:rPr>
              <w:t>Component</w:t>
            </w:r>
          </w:p>
        </w:tc>
        <w:tc>
          <w:tcPr>
            <w:tcW w:type="dxa" w:w="7632"/>
            <w:shd w:fill="005A9C"/>
            <w:vAlign w:val="top"/>
            <w:tcMar>
              <w:top w:w="90" w:type="dxa"/>
              <w:start w:w="90" w:type="dxa"/>
              <w:bottom w:w="90" w:type="dxa"/>
              <w:end w:w="90" w:type="dxa"/>
            </w:tcMar>
          </w:tcPr>
          <w:p>
            <w:pPr>
              <w:spacing w:after="0"/>
            </w:pPr>
            <w:r>
              <w:rPr>
                <w:b/>
                <w:color w:val="FFFFFF"/>
                <w:sz w:val="17"/>
              </w:rPr>
            </w:r>
            <w:r>
              <w:rPr>
                <w:b/>
                <w:color w:val="FFFFFF"/>
                <w:sz w:val="17"/>
              </w:rPr>
              <w:t>Requirement</w:t>
            </w:r>
          </w:p>
        </w:tc>
      </w:tr>
      <w:tr>
        <w:trPr>
          <w:trHeight w:hRule="atLeast"/>
        </w:trPr>
        <w:tc>
          <w:tcPr>
            <w:tcW w:type="dxa" w:w="3024"/>
            <w:vAlign w:val="top"/>
            <w:tcMar>
              <w:top w:w="90" w:type="dxa"/>
              <w:start w:w="90" w:type="dxa"/>
              <w:bottom w:w="90" w:type="dxa"/>
              <w:end w:w="90" w:type="dxa"/>
            </w:tcMar>
          </w:tcPr>
          <w:p>
            <w:pPr>
              <w:spacing w:after="0"/>
            </w:pPr>
            <w:r>
              <w:rPr>
                <w:b/>
                <w:color w:val="122A44"/>
                <w:sz w:val="17"/>
              </w:rPr>
            </w:r>
            <w:r>
              <w:rPr>
                <w:b/>
                <w:color w:val="122A44"/>
                <w:sz w:val="17"/>
              </w:rPr>
              <w:t>Primary lab model</w:t>
            </w:r>
          </w:p>
        </w:tc>
        <w:tc>
          <w:tcPr>
            <w:tcW w:type="dxa" w:w="7632"/>
            <w:vAlign w:val="top"/>
            <w:tcMar>
              <w:top w:w="90" w:type="dxa"/>
              <w:start w:w="90" w:type="dxa"/>
              <w:bottom w:w="90" w:type="dxa"/>
              <w:end w:w="90" w:type="dxa"/>
            </w:tcMar>
          </w:tcPr>
          <w:p>
            <w:pPr>
              <w:spacing w:after="0"/>
            </w:pPr>
            <w:r>
              <w:rPr>
                <w:sz w:val="17"/>
              </w:rPr>
            </w:r>
            <w:r>
              <w:rPr>
                <w:b w:val="0"/>
                <w:sz w:val="17"/>
              </w:rPr>
              <w:t>Instructor-controlled Azure tenant with one resource group per student or team.</w:t>
            </w:r>
          </w:p>
        </w:tc>
      </w:tr>
      <w:tr>
        <w:trPr>
          <w:trHeight w:hRule="atLeast"/>
        </w:trPr>
        <w:tc>
          <w:tcPr>
            <w:tcW w:type="dxa" w:w="3024"/>
            <w:vAlign w:val="top"/>
            <w:tcMar>
              <w:top w:w="90" w:type="dxa"/>
              <w:start w:w="90" w:type="dxa"/>
              <w:bottom w:w="90" w:type="dxa"/>
              <w:end w:w="90" w:type="dxa"/>
            </w:tcMar>
            <w:shd w:fill="FAFCFE"/>
          </w:tcPr>
          <w:p>
            <w:pPr>
              <w:spacing w:after="0"/>
            </w:pPr>
            <w:r>
              <w:rPr>
                <w:b/>
                <w:color w:val="122A44"/>
                <w:sz w:val="17"/>
              </w:rPr>
            </w:r>
            <w:r>
              <w:rPr>
                <w:b/>
                <w:color w:val="122A44"/>
                <w:sz w:val="17"/>
              </w:rPr>
              <w:t>Alternative model</w:t>
            </w:r>
          </w:p>
        </w:tc>
        <w:tc>
          <w:tcPr>
            <w:tcW w:type="dxa" w:w="7632"/>
            <w:vAlign w:val="top"/>
            <w:tcMar>
              <w:top w:w="90" w:type="dxa"/>
              <w:start w:w="90" w:type="dxa"/>
              <w:bottom w:w="90" w:type="dxa"/>
              <w:end w:w="90" w:type="dxa"/>
            </w:tcMar>
            <w:shd w:fill="FAFCFE"/>
          </w:tcPr>
          <w:p>
            <w:pPr>
              <w:spacing w:after="0"/>
            </w:pPr>
            <w:r>
              <w:rPr>
                <w:sz w:val="17"/>
              </w:rPr>
            </w:r>
            <w:r>
              <w:rPr>
                <w:b w:val="0"/>
                <w:sz w:val="17"/>
              </w:rPr>
              <w:t>Dedicated student Azure subscriptions where budget, governance, and tenant setup are already approved.</w:t>
            </w:r>
          </w:p>
        </w:tc>
      </w:tr>
      <w:tr>
        <w:trPr>
          <w:trHeight w:hRule="atLeast"/>
        </w:trPr>
        <w:tc>
          <w:tcPr>
            <w:tcW w:type="dxa" w:w="3024"/>
            <w:vAlign w:val="top"/>
            <w:tcMar>
              <w:top w:w="90" w:type="dxa"/>
              <w:start w:w="90" w:type="dxa"/>
              <w:bottom w:w="90" w:type="dxa"/>
              <w:end w:w="90" w:type="dxa"/>
            </w:tcMar>
          </w:tcPr>
          <w:p>
            <w:pPr>
              <w:spacing w:after="0"/>
            </w:pPr>
            <w:r>
              <w:rPr>
                <w:b/>
                <w:color w:val="122A44"/>
                <w:sz w:val="17"/>
              </w:rPr>
            </w:r>
            <w:r>
              <w:rPr>
                <w:b/>
                <w:color w:val="122A44"/>
                <w:sz w:val="17"/>
              </w:rPr>
              <w:t>Live customer model</w:t>
            </w:r>
          </w:p>
        </w:tc>
        <w:tc>
          <w:tcPr>
            <w:tcW w:type="dxa" w:w="7632"/>
            <w:vAlign w:val="top"/>
            <w:tcMar>
              <w:top w:w="90" w:type="dxa"/>
              <w:start w:w="90" w:type="dxa"/>
              <w:bottom w:w="90" w:type="dxa"/>
              <w:end w:w="90" w:type="dxa"/>
            </w:tcMar>
          </w:tcPr>
          <w:p>
            <w:pPr>
              <w:spacing w:after="0"/>
            </w:pPr>
            <w:r>
              <w:rPr>
                <w:sz w:val="17"/>
              </w:rPr>
            </w:r>
            <w:r>
              <w:rPr>
                <w:b w:val="0"/>
                <w:sz w:val="17"/>
              </w:rPr>
              <w:t>Read-only operational review by default. Changes only with documented approval.</w:t>
            </w:r>
          </w:p>
        </w:tc>
      </w:tr>
      <w:tr>
        <w:trPr>
          <w:trHeight w:hRule="atLeast"/>
        </w:trPr>
        <w:tc>
          <w:tcPr>
            <w:tcW w:type="dxa" w:w="3024"/>
            <w:vAlign w:val="top"/>
            <w:tcMar>
              <w:top w:w="90" w:type="dxa"/>
              <w:start w:w="90" w:type="dxa"/>
              <w:bottom w:w="90" w:type="dxa"/>
              <w:end w:w="90" w:type="dxa"/>
            </w:tcMar>
            <w:shd w:fill="FAFCFE"/>
          </w:tcPr>
          <w:p>
            <w:pPr>
              <w:spacing w:after="0"/>
            </w:pPr>
            <w:r>
              <w:rPr>
                <w:b/>
                <w:color w:val="122A44"/>
                <w:sz w:val="17"/>
              </w:rPr>
            </w:r>
            <w:r>
              <w:rPr>
                <w:b/>
                <w:color w:val="122A44"/>
                <w:sz w:val="17"/>
              </w:rPr>
              <w:t>Resource isolation</w:t>
            </w:r>
          </w:p>
        </w:tc>
        <w:tc>
          <w:tcPr>
            <w:tcW w:type="dxa" w:w="7632"/>
            <w:vAlign w:val="top"/>
            <w:tcMar>
              <w:top w:w="90" w:type="dxa"/>
              <w:start w:w="90" w:type="dxa"/>
              <w:bottom w:w="90" w:type="dxa"/>
              <w:end w:w="90" w:type="dxa"/>
            </w:tcMar>
            <w:shd w:fill="FAFCFE"/>
          </w:tcPr>
          <w:p>
            <w:pPr>
              <w:spacing w:after="0"/>
            </w:pPr>
            <w:r>
              <w:rPr>
                <w:sz w:val="17"/>
              </w:rPr>
            </w:r>
            <w:r>
              <w:rPr>
                <w:b w:val="0"/>
                <w:sz w:val="17"/>
              </w:rPr>
              <w:t>Use clear naming, for example rg-cese323-lab-&lt;student-or-team&gt;.</w:t>
            </w:r>
          </w:p>
        </w:tc>
      </w:tr>
      <w:tr>
        <w:trPr>
          <w:trHeight w:hRule="atLeast"/>
        </w:trPr>
        <w:tc>
          <w:tcPr>
            <w:tcW w:type="dxa" w:w="3024"/>
            <w:vAlign w:val="top"/>
            <w:tcMar>
              <w:top w:w="90" w:type="dxa"/>
              <w:start w:w="90" w:type="dxa"/>
              <w:bottom w:w="90" w:type="dxa"/>
              <w:end w:w="90" w:type="dxa"/>
            </w:tcMar>
          </w:tcPr>
          <w:p>
            <w:pPr>
              <w:spacing w:after="0"/>
            </w:pPr>
            <w:r>
              <w:rPr>
                <w:b/>
                <w:color w:val="122A44"/>
                <w:sz w:val="17"/>
              </w:rPr>
            </w:r>
            <w:r>
              <w:rPr>
                <w:b/>
                <w:color w:val="122A44"/>
                <w:sz w:val="17"/>
              </w:rPr>
              <w:t>Portal access</w:t>
            </w:r>
          </w:p>
        </w:tc>
        <w:tc>
          <w:tcPr>
            <w:tcW w:type="dxa" w:w="7632"/>
            <w:vAlign w:val="top"/>
            <w:tcMar>
              <w:top w:w="90" w:type="dxa"/>
              <w:start w:w="90" w:type="dxa"/>
              <w:bottom w:w="90" w:type="dxa"/>
              <w:end w:w="90" w:type="dxa"/>
            </w:tcMar>
          </w:tcPr>
          <w:p>
            <w:pPr>
              <w:spacing w:after="0"/>
            </w:pPr>
            <w:r>
              <w:rPr>
                <w:sz w:val="17"/>
              </w:rPr>
            </w:r>
            <w:r>
              <w:rPr>
                <w:b w:val="0"/>
                <w:sz w:val="17"/>
              </w:rPr>
              <w:t>Azure portal, Microsoft Defender for Cloud, Microsoft Defender portal, Microsoft Entra admin center when identity labs are included.</w:t>
            </w:r>
          </w:p>
        </w:tc>
      </w:tr>
      <w:tr>
        <w:trPr>
          <w:trHeight w:hRule="atLeast"/>
        </w:trPr>
        <w:tc>
          <w:tcPr>
            <w:tcW w:type="dxa" w:w="3024"/>
            <w:vAlign w:val="top"/>
            <w:tcMar>
              <w:top w:w="90" w:type="dxa"/>
              <w:start w:w="90" w:type="dxa"/>
              <w:bottom w:w="90" w:type="dxa"/>
              <w:end w:w="90" w:type="dxa"/>
            </w:tcMar>
            <w:shd w:fill="FAFCFE"/>
          </w:tcPr>
          <w:p>
            <w:pPr>
              <w:spacing w:after="0"/>
            </w:pPr>
            <w:r>
              <w:rPr>
                <w:b/>
                <w:color w:val="122A44"/>
                <w:sz w:val="17"/>
              </w:rPr>
            </w:r>
            <w:r>
              <w:rPr>
                <w:b/>
                <w:color w:val="122A44"/>
                <w:sz w:val="17"/>
              </w:rPr>
              <w:t>Browser</w:t>
            </w:r>
          </w:p>
        </w:tc>
        <w:tc>
          <w:tcPr>
            <w:tcW w:type="dxa" w:w="7632"/>
            <w:vAlign w:val="top"/>
            <w:tcMar>
              <w:top w:w="90" w:type="dxa"/>
              <w:start w:w="90" w:type="dxa"/>
              <w:bottom w:w="90" w:type="dxa"/>
              <w:end w:w="90" w:type="dxa"/>
            </w:tcMar>
            <w:shd w:fill="FAFCFE"/>
          </w:tcPr>
          <w:p>
            <w:pPr>
              <w:spacing w:after="0"/>
            </w:pPr>
            <w:r>
              <w:rPr>
                <w:sz w:val="17"/>
              </w:rPr>
            </w:r>
            <w:r>
              <w:rPr>
                <w:b w:val="0"/>
                <w:sz w:val="17"/>
              </w:rPr>
              <w:t>Modern HTML5-compliant browser; Microsoft Edge recommended for Microsoft portal consistency.</w:t>
            </w:r>
          </w:p>
        </w:tc>
      </w:tr>
      <w:tr>
        <w:trPr>
          <w:trHeight w:hRule="atLeast"/>
        </w:trPr>
        <w:tc>
          <w:tcPr>
            <w:tcW w:type="dxa" w:w="3024"/>
            <w:vAlign w:val="top"/>
            <w:tcMar>
              <w:top w:w="90" w:type="dxa"/>
              <w:start w:w="90" w:type="dxa"/>
              <w:bottom w:w="90" w:type="dxa"/>
              <w:end w:w="90" w:type="dxa"/>
            </w:tcMar>
          </w:tcPr>
          <w:p>
            <w:pPr>
              <w:spacing w:after="0"/>
            </w:pPr>
            <w:r>
              <w:rPr>
                <w:b/>
                <w:color w:val="122A44"/>
                <w:sz w:val="17"/>
              </w:rPr>
            </w:r>
            <w:r>
              <w:rPr>
                <w:b/>
                <w:color w:val="122A44"/>
                <w:sz w:val="17"/>
              </w:rPr>
              <w:t>Local tools</w:t>
            </w:r>
          </w:p>
        </w:tc>
        <w:tc>
          <w:tcPr>
            <w:tcW w:type="dxa" w:w="7632"/>
            <w:vAlign w:val="top"/>
            <w:tcMar>
              <w:top w:w="90" w:type="dxa"/>
              <w:start w:w="90" w:type="dxa"/>
              <w:bottom w:w="90" w:type="dxa"/>
              <w:end w:w="90" w:type="dxa"/>
            </w:tcMar>
          </w:tcPr>
          <w:p>
            <w:pPr>
              <w:spacing w:after="0"/>
            </w:pPr>
            <w:r>
              <w:rPr>
                <w:sz w:val="17"/>
              </w:rPr>
            </w:r>
            <w:r>
              <w:rPr>
                <w:b w:val="0"/>
                <w:sz w:val="17"/>
              </w:rPr>
              <w:t>PDF reader, screenshot tool, modern browser. Optional: Azure CLI, PowerShell 7, Git, VS Code, kubectl, Docker Desktop.</w:t>
            </w:r>
          </w:p>
        </w:tc>
      </w:tr>
    </w:tbl>
    <w:p/>
    <w:p>
      <w:pPr>
        <w:pStyle w:val="Heading2"/>
        <w:keepNext/>
      </w:pPr>
      <w:r>
        <w:rPr>
          <w:rFonts w:ascii="Aptos" w:hAnsi="Aptos" w:eastAsia="Aptos"/>
        </w:rPr>
        <w:t>1.2 Course delivery guidance</w:t>
      </w:r>
    </w:p>
    <w:p>
      <w:pPr>
        <w:pStyle w:val="ListBullet"/>
        <w:spacing w:after="60"/>
      </w:pPr>
      <w:r>
        <w:rPr>
          <w:rFonts w:ascii="Aptos" w:hAnsi="Aptos" w:eastAsia="Aptos"/>
        </w:rPr>
        <w:t>For one-day delivery, keep labs mostly portal-based.</w:t>
      </w:r>
    </w:p>
    <w:p>
      <w:pPr>
        <w:pStyle w:val="ListBullet"/>
        <w:spacing w:after="60"/>
      </w:pPr>
      <w:r>
        <w:rPr>
          <w:rFonts w:ascii="Aptos" w:hAnsi="Aptos" w:eastAsia="Aptos"/>
        </w:rPr>
        <w:t>Use CLI, AKS, Docker, and Azure AI deployment tasks only when the audience is technical and devices are prepared before class.</w:t>
      </w:r>
    </w:p>
    <w:p>
      <w:pPr>
        <w:pStyle w:val="ListBullet"/>
        <w:spacing w:after="60"/>
      </w:pPr>
      <w:r>
        <w:rPr>
          <w:rFonts w:ascii="Aptos" w:hAnsi="Aptos" w:eastAsia="Aptos"/>
        </w:rPr>
        <w:t>Use the selected workload-module model: Defender for Storage, Defender for Containers, Defender for App Service, or Defender for AI Services / Foundry. Select two for the standard one-day course.</w:t>
      </w:r>
    </w:p>
    <w:p>
      <w:pPr>
        <w:pStyle w:val="ListBullet"/>
        <w:spacing w:after="60"/>
      </w:pPr>
      <w:r>
        <w:rPr>
          <w:rFonts w:ascii="Aptos" w:hAnsi="Aptos" w:eastAsia="Aptos"/>
        </w:rPr>
        <w:t>Use prebuilt screenshots and simulated findings for self-paced or demo-only delivery.</w:t>
      </w:r>
    </w:p>
    <w:p>
      <w:pPr>
        <w:pStyle w:val="Heading1"/>
        <w:keepNext/>
      </w:pPr>
      <w:r>
        <w:rPr>
          <w:rFonts w:ascii="Aptos" w:hAnsi="Aptos" w:eastAsia="Aptos"/>
        </w:rPr>
        <w:t>2. Azure Tenant Requirements</w:t>
      </w:r>
    </w:p>
    <w:tbl>
      <w:tblPr>
        <w:tblStyle w:val="TableGrid"/>
        <w:tblW w:type="auto" w:w="0"/>
        <w:jc w:val="center"/>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12"/>
        <w:gridCol w:w="5112"/>
      </w:tblGrid>
      <w:tr>
        <w:trPr>
          <w:trHeight w:hRule="atLeast"/>
          <w:tblHeader w:val="true"/>
        </w:trPr>
        <w:tc>
          <w:tcPr>
            <w:tcW w:type="dxa" w:w="2880"/>
            <w:shd w:fill="122A44"/>
            <w:vAlign w:val="top"/>
            <w:tcMar>
              <w:top w:w="90" w:type="dxa"/>
              <w:start w:w="90" w:type="dxa"/>
              <w:bottom w:w="90" w:type="dxa"/>
              <w:end w:w="90" w:type="dxa"/>
            </w:tcMar>
          </w:tcPr>
          <w:p>
            <w:pPr>
              <w:spacing w:after="0"/>
            </w:pPr>
            <w:r>
              <w:rPr>
                <w:b/>
                <w:color w:val="FFFFFF"/>
                <w:sz w:val="17"/>
              </w:rPr>
            </w:r>
            <w:r>
              <w:rPr>
                <w:b/>
                <w:color w:val="FFFFFF"/>
                <w:sz w:val="17"/>
              </w:rPr>
              <w:t>Area</w:t>
            </w:r>
          </w:p>
        </w:tc>
        <w:tc>
          <w:tcPr>
            <w:tcW w:type="dxa" w:w="7776"/>
            <w:shd w:fill="122A44"/>
            <w:vAlign w:val="top"/>
            <w:tcMar>
              <w:top w:w="90" w:type="dxa"/>
              <w:start w:w="90" w:type="dxa"/>
              <w:bottom w:w="90" w:type="dxa"/>
              <w:end w:w="90" w:type="dxa"/>
            </w:tcMar>
          </w:tcPr>
          <w:p>
            <w:pPr>
              <w:spacing w:after="0"/>
            </w:pPr>
            <w:r>
              <w:rPr>
                <w:b/>
                <w:color w:val="FFFFFF"/>
                <w:sz w:val="17"/>
              </w:rPr>
            </w:r>
            <w:r>
              <w:rPr>
                <w:b/>
                <w:color w:val="FFFFFF"/>
                <w:sz w:val="17"/>
              </w:rPr>
              <w:t>Requirement</w:t>
            </w:r>
          </w:p>
        </w:tc>
      </w:tr>
      <w:tr>
        <w:trPr>
          <w:trHeight w:hRule="atLeast"/>
        </w:trPr>
        <w:tc>
          <w:tcPr>
            <w:tcW w:type="dxa" w:w="2880"/>
            <w:vAlign w:val="top"/>
            <w:tcMar>
              <w:top w:w="90" w:type="dxa"/>
              <w:start w:w="90" w:type="dxa"/>
              <w:bottom w:w="90" w:type="dxa"/>
              <w:end w:w="90" w:type="dxa"/>
            </w:tcMar>
          </w:tcPr>
          <w:p>
            <w:pPr>
              <w:spacing w:after="0"/>
            </w:pPr>
            <w:r>
              <w:rPr>
                <w:b/>
                <w:color w:val="122A44"/>
                <w:sz w:val="17"/>
              </w:rPr>
            </w:r>
            <w:r>
              <w:rPr>
                <w:b/>
                <w:color w:val="122A44"/>
                <w:sz w:val="17"/>
              </w:rPr>
              <w:t>Microsoft Entra tenant</w:t>
            </w:r>
          </w:p>
        </w:tc>
        <w:tc>
          <w:tcPr>
            <w:tcW w:type="dxa" w:w="7776"/>
            <w:vAlign w:val="top"/>
            <w:tcMar>
              <w:top w:w="90" w:type="dxa"/>
              <w:start w:w="90" w:type="dxa"/>
              <w:bottom w:w="90" w:type="dxa"/>
              <w:end w:w="90" w:type="dxa"/>
            </w:tcMar>
          </w:tcPr>
          <w:p>
            <w:pPr>
              <w:spacing w:after="0"/>
            </w:pPr>
            <w:r>
              <w:rPr>
                <w:sz w:val="17"/>
              </w:rPr>
            </w:r>
            <w:r>
              <w:rPr>
                <w:b w:val="0"/>
                <w:sz w:val="17"/>
              </w:rPr>
              <w:t>A known tenant/directory must be confirmed before class. Students must know which directory to use.</w:t>
            </w:r>
          </w:p>
        </w:tc>
      </w:tr>
      <w:tr>
        <w:trPr>
          <w:trHeight w:hRule="atLeast"/>
        </w:trPr>
        <w:tc>
          <w:tcPr>
            <w:tcW w:type="dxa" w:w="2880"/>
            <w:vAlign w:val="top"/>
            <w:tcMar>
              <w:top w:w="90" w:type="dxa"/>
              <w:start w:w="90" w:type="dxa"/>
              <w:bottom w:w="90" w:type="dxa"/>
              <w:end w:w="90" w:type="dxa"/>
            </w:tcMar>
            <w:shd w:fill="FAFCFE"/>
          </w:tcPr>
          <w:p>
            <w:pPr>
              <w:spacing w:after="0"/>
            </w:pPr>
            <w:r>
              <w:rPr>
                <w:b/>
                <w:color w:val="122A44"/>
                <w:sz w:val="17"/>
              </w:rPr>
            </w:r>
            <w:r>
              <w:rPr>
                <w:b/>
                <w:color w:val="122A44"/>
                <w:sz w:val="17"/>
              </w:rPr>
              <w:t>Azure subscription</w:t>
            </w:r>
          </w:p>
        </w:tc>
        <w:tc>
          <w:tcPr>
            <w:tcW w:type="dxa" w:w="7776"/>
            <w:vAlign w:val="top"/>
            <w:tcMar>
              <w:top w:w="90" w:type="dxa"/>
              <w:start w:w="90" w:type="dxa"/>
              <w:bottom w:w="90" w:type="dxa"/>
              <w:end w:w="90" w:type="dxa"/>
            </w:tcMar>
            <w:shd w:fill="FAFCFE"/>
          </w:tcPr>
          <w:p>
            <w:pPr>
              <w:spacing w:after="0"/>
            </w:pPr>
            <w:r>
              <w:rPr>
                <w:sz w:val="17"/>
              </w:rPr>
            </w:r>
            <w:r>
              <w:rPr>
                <w:b w:val="0"/>
                <w:sz w:val="17"/>
              </w:rPr>
              <w:t>At least one active lab-ready subscription must be available.</w:t>
            </w:r>
          </w:p>
        </w:tc>
      </w:tr>
      <w:tr>
        <w:trPr>
          <w:trHeight w:hRule="atLeast"/>
        </w:trPr>
        <w:tc>
          <w:tcPr>
            <w:tcW w:type="dxa" w:w="2880"/>
            <w:vAlign w:val="top"/>
            <w:tcMar>
              <w:top w:w="90" w:type="dxa"/>
              <w:start w:w="90" w:type="dxa"/>
              <w:bottom w:w="90" w:type="dxa"/>
              <w:end w:w="90" w:type="dxa"/>
            </w:tcMar>
          </w:tcPr>
          <w:p>
            <w:pPr>
              <w:spacing w:after="0"/>
            </w:pPr>
            <w:r>
              <w:rPr>
                <w:b/>
                <w:color w:val="122A44"/>
                <w:sz w:val="17"/>
              </w:rPr>
            </w:r>
            <w:r>
              <w:rPr>
                <w:b/>
                <w:color w:val="122A44"/>
                <w:sz w:val="17"/>
              </w:rPr>
              <w:t>Billing status</w:t>
            </w:r>
          </w:p>
        </w:tc>
        <w:tc>
          <w:tcPr>
            <w:tcW w:type="dxa" w:w="7776"/>
            <w:vAlign w:val="top"/>
            <w:tcMar>
              <w:top w:w="90" w:type="dxa"/>
              <w:start w:w="90" w:type="dxa"/>
              <w:bottom w:w="90" w:type="dxa"/>
              <w:end w:w="90" w:type="dxa"/>
            </w:tcMar>
          </w:tcPr>
          <w:p>
            <w:pPr>
              <w:spacing w:after="0"/>
            </w:pPr>
            <w:r>
              <w:rPr>
                <w:sz w:val="17"/>
              </w:rPr>
            </w:r>
            <w:r>
              <w:rPr>
                <w:b w:val="0"/>
                <w:sz w:val="17"/>
              </w:rPr>
              <w:t>Subscription must not be disabled, expired, or blocked by spending limits.</w:t>
            </w:r>
          </w:p>
        </w:tc>
      </w:tr>
      <w:tr>
        <w:trPr>
          <w:trHeight w:hRule="atLeast"/>
        </w:trPr>
        <w:tc>
          <w:tcPr>
            <w:tcW w:type="dxa" w:w="2880"/>
            <w:vAlign w:val="top"/>
            <w:tcMar>
              <w:top w:w="90" w:type="dxa"/>
              <w:start w:w="90" w:type="dxa"/>
              <w:bottom w:w="90" w:type="dxa"/>
              <w:end w:w="90" w:type="dxa"/>
            </w:tcMar>
            <w:shd w:fill="FAFCFE"/>
          </w:tcPr>
          <w:p>
            <w:pPr>
              <w:spacing w:after="0"/>
            </w:pPr>
            <w:r>
              <w:rPr>
                <w:b/>
                <w:color w:val="122A44"/>
                <w:sz w:val="17"/>
              </w:rPr>
            </w:r>
            <w:r>
              <w:rPr>
                <w:b/>
                <w:color w:val="122A44"/>
                <w:sz w:val="17"/>
              </w:rPr>
              <w:t>MFA</w:t>
            </w:r>
          </w:p>
        </w:tc>
        <w:tc>
          <w:tcPr>
            <w:tcW w:type="dxa" w:w="7776"/>
            <w:vAlign w:val="top"/>
            <w:tcMar>
              <w:top w:w="90" w:type="dxa"/>
              <w:start w:w="90" w:type="dxa"/>
              <w:bottom w:w="90" w:type="dxa"/>
              <w:end w:w="90" w:type="dxa"/>
            </w:tcMar>
            <w:shd w:fill="FAFCFE"/>
          </w:tcPr>
          <w:p>
            <w:pPr>
              <w:spacing w:after="0"/>
            </w:pPr>
            <w:r>
              <w:rPr>
                <w:sz w:val="17"/>
              </w:rPr>
            </w:r>
            <w:r>
              <w:rPr>
                <w:b w:val="0"/>
                <w:sz w:val="17"/>
              </w:rPr>
              <w:t>MFA must be configured and tested for instructors and students.</w:t>
            </w:r>
          </w:p>
        </w:tc>
      </w:tr>
      <w:tr>
        <w:trPr>
          <w:trHeight w:hRule="atLeast"/>
        </w:trPr>
        <w:tc>
          <w:tcPr>
            <w:tcW w:type="dxa" w:w="2880"/>
            <w:vAlign w:val="top"/>
            <w:tcMar>
              <w:top w:w="90" w:type="dxa"/>
              <w:start w:w="90" w:type="dxa"/>
              <w:bottom w:w="90" w:type="dxa"/>
              <w:end w:w="90" w:type="dxa"/>
            </w:tcMar>
          </w:tcPr>
          <w:p>
            <w:pPr>
              <w:spacing w:after="0"/>
            </w:pPr>
            <w:r>
              <w:rPr>
                <w:b/>
                <w:color w:val="122A44"/>
                <w:sz w:val="17"/>
              </w:rPr>
            </w:r>
            <w:r>
              <w:rPr>
                <w:b/>
                <w:color w:val="122A44"/>
                <w:sz w:val="17"/>
              </w:rPr>
              <w:t>Named accounts</w:t>
            </w:r>
          </w:p>
        </w:tc>
        <w:tc>
          <w:tcPr>
            <w:tcW w:type="dxa" w:w="7776"/>
            <w:vAlign w:val="top"/>
            <w:tcMar>
              <w:top w:w="90" w:type="dxa"/>
              <w:start w:w="90" w:type="dxa"/>
              <w:bottom w:w="90" w:type="dxa"/>
              <w:end w:w="90" w:type="dxa"/>
            </w:tcMar>
          </w:tcPr>
          <w:p>
            <w:pPr>
              <w:spacing w:after="0"/>
            </w:pPr>
            <w:r>
              <w:rPr>
                <w:sz w:val="17"/>
              </w:rPr>
            </w:r>
            <w:r>
              <w:rPr>
                <w:b w:val="0"/>
                <w:sz w:val="17"/>
              </w:rPr>
              <w:t>Avoid shared admin accounts. Use named accounts for auditability.</w:t>
            </w:r>
          </w:p>
        </w:tc>
      </w:tr>
      <w:tr>
        <w:trPr>
          <w:trHeight w:hRule="atLeast"/>
        </w:trPr>
        <w:tc>
          <w:tcPr>
            <w:tcW w:type="dxa" w:w="2880"/>
            <w:vAlign w:val="top"/>
            <w:tcMar>
              <w:top w:w="90" w:type="dxa"/>
              <w:start w:w="90" w:type="dxa"/>
              <w:bottom w:w="90" w:type="dxa"/>
              <w:end w:w="90" w:type="dxa"/>
            </w:tcMar>
            <w:shd w:fill="FAFCFE"/>
          </w:tcPr>
          <w:p>
            <w:pPr>
              <w:spacing w:after="0"/>
            </w:pPr>
            <w:r>
              <w:rPr>
                <w:b/>
                <w:color w:val="122A44"/>
                <w:sz w:val="17"/>
              </w:rPr>
            </w:r>
            <w:r>
              <w:rPr>
                <w:b/>
                <w:color w:val="122A44"/>
                <w:sz w:val="17"/>
              </w:rPr>
              <w:t>Defender for Cloud</w:t>
            </w:r>
          </w:p>
        </w:tc>
        <w:tc>
          <w:tcPr>
            <w:tcW w:type="dxa" w:w="7776"/>
            <w:vAlign w:val="top"/>
            <w:tcMar>
              <w:top w:w="90" w:type="dxa"/>
              <w:start w:w="90" w:type="dxa"/>
              <w:bottom w:w="90" w:type="dxa"/>
              <w:end w:w="90" w:type="dxa"/>
            </w:tcMar>
            <w:shd w:fill="FAFCFE"/>
          </w:tcPr>
          <w:p>
            <w:pPr>
              <w:spacing w:after="0"/>
            </w:pPr>
            <w:r>
              <w:rPr>
                <w:sz w:val="17"/>
              </w:rPr>
            </w:r>
            <w:r>
              <w:rPr>
                <w:b w:val="0"/>
                <w:sz w:val="17"/>
              </w:rPr>
              <w:t>Enabled and visible in the Azure portal.</w:t>
            </w:r>
          </w:p>
        </w:tc>
      </w:tr>
      <w:tr>
        <w:trPr>
          <w:trHeight w:hRule="atLeast"/>
        </w:trPr>
        <w:tc>
          <w:tcPr>
            <w:tcW w:type="dxa" w:w="2880"/>
            <w:vAlign w:val="top"/>
            <w:tcMar>
              <w:top w:w="90" w:type="dxa"/>
              <w:start w:w="90" w:type="dxa"/>
              <w:bottom w:w="90" w:type="dxa"/>
              <w:end w:w="90" w:type="dxa"/>
            </w:tcMar>
          </w:tcPr>
          <w:p>
            <w:pPr>
              <w:spacing w:after="0"/>
            </w:pPr>
            <w:r>
              <w:rPr>
                <w:b/>
                <w:color w:val="122A44"/>
                <w:sz w:val="17"/>
              </w:rPr>
            </w:r>
            <w:r>
              <w:rPr>
                <w:b/>
                <w:color w:val="122A44"/>
                <w:sz w:val="17"/>
              </w:rPr>
              <w:t>Environment settings</w:t>
            </w:r>
          </w:p>
        </w:tc>
        <w:tc>
          <w:tcPr>
            <w:tcW w:type="dxa" w:w="7776"/>
            <w:vAlign w:val="top"/>
            <w:tcMar>
              <w:top w:w="90" w:type="dxa"/>
              <w:start w:w="90" w:type="dxa"/>
              <w:bottom w:w="90" w:type="dxa"/>
              <w:end w:w="90" w:type="dxa"/>
            </w:tcMar>
          </w:tcPr>
          <w:p>
            <w:pPr>
              <w:spacing w:after="0"/>
            </w:pPr>
            <w:r>
              <w:rPr>
                <w:sz w:val="17"/>
              </w:rPr>
            </w:r>
            <w:r>
              <w:rPr>
                <w:b w:val="0"/>
                <w:sz w:val="17"/>
              </w:rPr>
              <w:t>Instructor must verify access to Microsoft Defender for Cloud &gt; Environment settings.</w:t>
            </w:r>
          </w:p>
        </w:tc>
      </w:tr>
      <w:tr>
        <w:trPr>
          <w:trHeight w:hRule="atLeast"/>
        </w:trPr>
        <w:tc>
          <w:tcPr>
            <w:tcW w:type="dxa" w:w="2880"/>
            <w:vAlign w:val="top"/>
            <w:tcMar>
              <w:top w:w="90" w:type="dxa"/>
              <w:start w:w="90" w:type="dxa"/>
              <w:bottom w:w="90" w:type="dxa"/>
              <w:end w:w="90" w:type="dxa"/>
            </w:tcMar>
            <w:shd w:fill="FAFCFE"/>
          </w:tcPr>
          <w:p>
            <w:pPr>
              <w:spacing w:after="0"/>
            </w:pPr>
            <w:r>
              <w:rPr>
                <w:b/>
                <w:color w:val="122A44"/>
                <w:sz w:val="17"/>
              </w:rPr>
            </w:r>
            <w:r>
              <w:rPr>
                <w:b/>
                <w:color w:val="122A44"/>
                <w:sz w:val="17"/>
              </w:rPr>
              <w:t>CSPM visibility</w:t>
            </w:r>
          </w:p>
        </w:tc>
        <w:tc>
          <w:tcPr>
            <w:tcW w:type="dxa" w:w="7776"/>
            <w:vAlign w:val="top"/>
            <w:tcMar>
              <w:top w:w="90" w:type="dxa"/>
              <w:start w:w="90" w:type="dxa"/>
              <w:bottom w:w="90" w:type="dxa"/>
              <w:end w:w="90" w:type="dxa"/>
            </w:tcMar>
            <w:shd w:fill="FAFCFE"/>
          </w:tcPr>
          <w:p>
            <w:pPr>
              <w:spacing w:after="0"/>
            </w:pPr>
            <w:r>
              <w:rPr>
                <w:sz w:val="17"/>
              </w:rPr>
            </w:r>
            <w:r>
              <w:rPr>
                <w:b w:val="0"/>
                <w:sz w:val="17"/>
              </w:rPr>
              <w:t>Secure Score, recommendations, asset inventory, regulatory compliance, and workbooks should load before class.</w:t>
            </w:r>
          </w:p>
        </w:tc>
      </w:tr>
      <w:tr>
        <w:trPr>
          <w:trHeight w:hRule="atLeast"/>
        </w:trPr>
        <w:tc>
          <w:tcPr>
            <w:tcW w:type="dxa" w:w="2880"/>
            <w:vAlign w:val="top"/>
            <w:tcMar>
              <w:top w:w="90" w:type="dxa"/>
              <w:start w:w="90" w:type="dxa"/>
              <w:bottom w:w="90" w:type="dxa"/>
              <w:end w:w="90" w:type="dxa"/>
            </w:tcMar>
          </w:tcPr>
          <w:p>
            <w:pPr>
              <w:spacing w:after="0"/>
            </w:pPr>
            <w:r>
              <w:rPr>
                <w:b/>
                <w:color w:val="122A44"/>
                <w:sz w:val="17"/>
              </w:rPr>
            </w:r>
            <w:r>
              <w:rPr>
                <w:b/>
                <w:color w:val="122A44"/>
                <w:sz w:val="17"/>
              </w:rPr>
              <w:t>Resource providers</w:t>
            </w:r>
          </w:p>
        </w:tc>
        <w:tc>
          <w:tcPr>
            <w:tcW w:type="dxa" w:w="7776"/>
            <w:vAlign w:val="top"/>
            <w:tcMar>
              <w:top w:w="90" w:type="dxa"/>
              <w:start w:w="90" w:type="dxa"/>
              <w:bottom w:w="90" w:type="dxa"/>
              <w:end w:w="90" w:type="dxa"/>
            </w:tcMar>
          </w:tcPr>
          <w:p>
            <w:pPr>
              <w:spacing w:after="0"/>
            </w:pPr>
            <w:r>
              <w:rPr>
                <w:sz w:val="17"/>
              </w:rPr>
            </w:r>
            <w:r>
              <w:rPr>
                <w:b w:val="0"/>
                <w:sz w:val="17"/>
              </w:rPr>
              <w:t>Required providers must be registered for the selected labs.</w:t>
            </w:r>
          </w:p>
        </w:tc>
      </w:tr>
      <w:tr>
        <w:trPr>
          <w:trHeight w:hRule="atLeast"/>
        </w:trPr>
        <w:tc>
          <w:tcPr>
            <w:tcW w:type="dxa" w:w="2880"/>
            <w:vAlign w:val="top"/>
            <w:tcMar>
              <w:top w:w="90" w:type="dxa"/>
              <w:start w:w="90" w:type="dxa"/>
              <w:bottom w:w="90" w:type="dxa"/>
              <w:end w:w="90" w:type="dxa"/>
            </w:tcMar>
            <w:shd w:fill="FAFCFE"/>
          </w:tcPr>
          <w:p>
            <w:pPr>
              <w:spacing w:after="0"/>
            </w:pPr>
            <w:r>
              <w:rPr>
                <w:b/>
                <w:color w:val="122A44"/>
                <w:sz w:val="17"/>
              </w:rPr>
            </w:r>
            <w:r>
              <w:rPr>
                <w:b/>
                <w:color w:val="122A44"/>
                <w:sz w:val="17"/>
              </w:rPr>
              <w:t>Network access</w:t>
            </w:r>
          </w:p>
        </w:tc>
        <w:tc>
          <w:tcPr>
            <w:tcW w:type="dxa" w:w="7776"/>
            <w:vAlign w:val="top"/>
            <w:tcMar>
              <w:top w:w="90" w:type="dxa"/>
              <w:start w:w="90" w:type="dxa"/>
              <w:bottom w:w="90" w:type="dxa"/>
              <w:end w:w="90" w:type="dxa"/>
            </w:tcMar>
            <w:shd w:fill="FAFCFE"/>
          </w:tcPr>
          <w:p>
            <w:pPr>
              <w:spacing w:after="0"/>
            </w:pPr>
            <w:r>
              <w:rPr>
                <w:sz w:val="17"/>
              </w:rPr>
            </w:r>
            <w:r>
              <w:rPr>
                <w:b w:val="0"/>
                <w:sz w:val="17"/>
              </w:rPr>
              <w:t>Corporate proxy/firewall must not block Azure portal, Defender portal, Microsoft Learn, GitHub, Cloud Shell, or required Azure APIs.</w:t>
            </w:r>
          </w:p>
        </w:tc>
      </w:tr>
    </w:tbl>
    <w:p/>
    <w:p>
      <w:pPr>
        <w:pStyle w:val="Heading2"/>
        <w:keepNext/>
      </w:pPr>
      <w:r>
        <w:rPr>
          <w:rFonts w:ascii="Aptos" w:hAnsi="Aptos" w:eastAsia="Aptos"/>
        </w:rPr>
        <w:t>2.1 Tenant readiness validation</w:t>
      </w:r>
    </w:p>
    <w:p>
      <w:pPr>
        <w:pStyle w:val="ListBullet"/>
        <w:spacing w:after="60"/>
      </w:pPr>
      <w:r>
        <w:rPr>
          <w:rFonts w:ascii="Aptos" w:hAnsi="Aptos" w:eastAsia="Aptos"/>
        </w:rPr>
        <w:t>[ ] Confirm correct tenant/directory selection.</w:t>
      </w:r>
    </w:p>
    <w:p>
      <w:pPr>
        <w:pStyle w:val="ListBullet"/>
        <w:spacing w:after="60"/>
      </w:pPr>
      <w:r>
        <w:rPr>
          <w:rFonts w:ascii="Aptos" w:hAnsi="Aptos" w:eastAsia="Aptos"/>
        </w:rPr>
        <w:t>[ ] Confirm all student accounts can sign in successfully.</w:t>
      </w:r>
    </w:p>
    <w:p>
      <w:pPr>
        <w:pStyle w:val="ListBullet"/>
        <w:spacing w:after="60"/>
      </w:pPr>
      <w:r>
        <w:rPr>
          <w:rFonts w:ascii="Aptos" w:hAnsi="Aptos" w:eastAsia="Aptos"/>
        </w:rPr>
        <w:t>[ ] Confirm MFA is enforced and tested.</w:t>
      </w:r>
    </w:p>
    <w:p>
      <w:pPr>
        <w:pStyle w:val="ListBullet"/>
        <w:spacing w:after="60"/>
      </w:pPr>
      <w:r>
        <w:rPr>
          <w:rFonts w:ascii="Aptos" w:hAnsi="Aptos" w:eastAsia="Aptos"/>
        </w:rPr>
        <w:t>[ ] Confirm instructor can access Defender for Cloud environment settings.</w:t>
      </w:r>
    </w:p>
    <w:p>
      <w:pPr>
        <w:pStyle w:val="ListBullet"/>
        <w:spacing w:after="60"/>
      </w:pPr>
      <w:r>
        <w:rPr>
          <w:rFonts w:ascii="Aptos" w:hAnsi="Aptos" w:eastAsia="Aptos"/>
        </w:rPr>
        <w:t>[ ] Confirm the lab subscription appears in Defender for Cloud.</w:t>
      </w:r>
    </w:p>
    <w:p>
      <w:pPr>
        <w:pStyle w:val="ListBullet"/>
        <w:spacing w:after="60"/>
      </w:pPr>
      <w:r>
        <w:rPr>
          <w:rFonts w:ascii="Aptos" w:hAnsi="Aptos" w:eastAsia="Aptos"/>
        </w:rPr>
        <w:t>[ ] Confirm Secure Score, recommendations, inventory, regulatory compliance, and workbooks load successfully.</w:t>
      </w:r>
    </w:p>
    <w:p>
      <w:pPr>
        <w:pStyle w:val="ListBullet"/>
        <w:spacing w:after="60"/>
      </w:pPr>
      <w:r>
        <w:rPr>
          <w:rFonts w:ascii="Aptos" w:hAnsi="Aptos" w:eastAsia="Aptos"/>
        </w:rPr>
        <w:t>[ ] Confirm selected workload resources can be created or are already staged.</w:t>
      </w:r>
    </w:p>
    <w:p>
      <w:pPr>
        <w:pStyle w:val="Heading1"/>
        <w:keepNext/>
      </w:pPr>
      <w:r>
        <w:rPr>
          <w:rFonts w:ascii="Aptos" w:hAnsi="Aptos" w:eastAsia="Aptos"/>
        </w:rPr>
        <w:t>3. Permissions Required</w:t>
      </w:r>
    </w:p>
    <w:tbl>
      <w:tblPr>
        <w:tblStyle w:val="TableGrid"/>
        <w:tblW w:type="auto" w:w="0"/>
        <w:jc w:val="center"/>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3408"/>
        <w:gridCol w:w="3408"/>
        <w:gridCol w:w="3408"/>
      </w:tblGrid>
      <w:tr>
        <w:trPr>
          <w:trHeight w:hRule="atLeast"/>
          <w:tblHeader w:val="true"/>
        </w:trPr>
        <w:tc>
          <w:tcPr>
            <w:tcW w:type="dxa" w:w="1872"/>
            <w:shd w:fill="005A9C"/>
            <w:vAlign w:val="top"/>
            <w:tcMar>
              <w:top w:w="90" w:type="dxa"/>
              <w:start w:w="90" w:type="dxa"/>
              <w:bottom w:w="90" w:type="dxa"/>
              <w:end w:w="90" w:type="dxa"/>
            </w:tcMar>
          </w:tcPr>
          <w:p>
            <w:pPr>
              <w:spacing w:after="0"/>
            </w:pPr>
            <w:r>
              <w:rPr>
                <w:b/>
                <w:color w:val="FFFFFF"/>
                <w:sz w:val="16"/>
              </w:rPr>
            </w:r>
            <w:r>
              <w:rPr>
                <w:b/>
                <w:color w:val="FFFFFF"/>
                <w:sz w:val="16"/>
              </w:rPr>
              <w:t>Role</w:t>
            </w:r>
          </w:p>
        </w:tc>
        <w:tc>
          <w:tcPr>
            <w:tcW w:type="dxa" w:w="3168"/>
            <w:shd w:fill="005A9C"/>
            <w:vAlign w:val="top"/>
            <w:tcMar>
              <w:top w:w="90" w:type="dxa"/>
              <w:start w:w="90" w:type="dxa"/>
              <w:bottom w:w="90" w:type="dxa"/>
              <w:end w:w="90" w:type="dxa"/>
            </w:tcMar>
          </w:tcPr>
          <w:p>
            <w:pPr>
              <w:spacing w:after="0"/>
            </w:pPr>
            <w:r>
              <w:rPr>
                <w:b/>
                <w:color w:val="FFFFFF"/>
                <w:sz w:val="16"/>
              </w:rPr>
            </w:r>
            <w:r>
              <w:rPr>
                <w:b/>
                <w:color w:val="FFFFFF"/>
                <w:sz w:val="16"/>
              </w:rPr>
              <w:t>Recommended Assignment</w:t>
            </w:r>
          </w:p>
        </w:tc>
        <w:tc>
          <w:tcPr>
            <w:tcW w:type="dxa" w:w="5616"/>
            <w:shd w:fill="005A9C"/>
            <w:vAlign w:val="top"/>
            <w:tcMar>
              <w:top w:w="90" w:type="dxa"/>
              <w:start w:w="90" w:type="dxa"/>
              <w:bottom w:w="90" w:type="dxa"/>
              <w:end w:w="90" w:type="dxa"/>
            </w:tcMar>
          </w:tcPr>
          <w:p>
            <w:pPr>
              <w:spacing w:after="0"/>
            </w:pPr>
            <w:r>
              <w:rPr>
                <w:b/>
                <w:color w:val="FFFFFF"/>
                <w:sz w:val="16"/>
              </w:rPr>
            </w:r>
            <w:r>
              <w:rPr>
                <w:b/>
                <w:color w:val="FFFFFF"/>
                <w:sz w:val="16"/>
              </w:rPr>
              <w:t>Purpose</w:t>
            </w:r>
          </w:p>
        </w:tc>
      </w:tr>
      <w:tr>
        <w:trPr>
          <w:trHeight w:hRule="atLeast"/>
        </w:trPr>
        <w:tc>
          <w:tcPr>
            <w:tcW w:type="dxa" w:w="1872"/>
            <w:vAlign w:val="top"/>
            <w:tcMar>
              <w:top w:w="90" w:type="dxa"/>
              <w:start w:w="90" w:type="dxa"/>
              <w:bottom w:w="90" w:type="dxa"/>
              <w:end w:w="90" w:type="dxa"/>
            </w:tcMar>
          </w:tcPr>
          <w:p>
            <w:pPr>
              <w:spacing w:after="0"/>
            </w:pPr>
            <w:r>
              <w:rPr>
                <w:b/>
                <w:color w:val="122A44"/>
                <w:sz w:val="16"/>
              </w:rPr>
            </w:r>
            <w:r>
              <w:rPr>
                <w:b/>
                <w:color w:val="122A44"/>
                <w:sz w:val="16"/>
              </w:rPr>
              <w:t>Reader</w:t>
            </w:r>
          </w:p>
        </w:tc>
        <w:tc>
          <w:tcPr>
            <w:tcW w:type="dxa" w:w="3168"/>
            <w:vAlign w:val="top"/>
            <w:tcMar>
              <w:top w:w="90" w:type="dxa"/>
              <w:start w:w="90" w:type="dxa"/>
              <w:bottom w:w="90" w:type="dxa"/>
              <w:end w:w="90" w:type="dxa"/>
            </w:tcMar>
          </w:tcPr>
          <w:p>
            <w:pPr>
              <w:spacing w:after="0"/>
            </w:pPr>
            <w:r>
              <w:rPr>
                <w:sz w:val="16"/>
              </w:rPr>
            </w:r>
            <w:r>
              <w:rPr>
                <w:b w:val="0"/>
                <w:sz w:val="16"/>
              </w:rPr>
              <w:t>Students by default</w:t>
            </w:r>
          </w:p>
        </w:tc>
        <w:tc>
          <w:tcPr>
            <w:tcW w:type="dxa" w:w="5616"/>
            <w:vAlign w:val="top"/>
            <w:tcMar>
              <w:top w:w="90" w:type="dxa"/>
              <w:start w:w="90" w:type="dxa"/>
              <w:bottom w:w="90" w:type="dxa"/>
              <w:end w:w="90" w:type="dxa"/>
            </w:tcMar>
          </w:tcPr>
          <w:p>
            <w:pPr>
              <w:spacing w:after="0"/>
            </w:pPr>
            <w:r>
              <w:rPr>
                <w:sz w:val="16"/>
              </w:rPr>
            </w:r>
            <w:r>
              <w:rPr>
                <w:b w:val="0"/>
                <w:sz w:val="16"/>
              </w:rPr>
              <w:t>View posture, recommendations, Secure Score, inventory, regulatory compliance, dashboards, and findings.</w:t>
            </w:r>
          </w:p>
        </w:tc>
      </w:tr>
      <w:tr>
        <w:trPr>
          <w:trHeight w:hRule="atLeast"/>
        </w:trPr>
        <w:tc>
          <w:tcPr>
            <w:tcW w:type="dxa" w:w="1872"/>
            <w:vAlign w:val="top"/>
            <w:tcMar>
              <w:top w:w="90" w:type="dxa"/>
              <w:start w:w="90" w:type="dxa"/>
              <w:bottom w:w="90" w:type="dxa"/>
              <w:end w:w="90" w:type="dxa"/>
            </w:tcMar>
            <w:shd w:fill="FAFCFE"/>
          </w:tcPr>
          <w:p>
            <w:pPr>
              <w:spacing w:after="0"/>
            </w:pPr>
            <w:r>
              <w:rPr>
                <w:b/>
                <w:color w:val="122A44"/>
                <w:sz w:val="16"/>
              </w:rPr>
            </w:r>
            <w:r>
              <w:rPr>
                <w:b/>
                <w:color w:val="122A44"/>
                <w:sz w:val="16"/>
              </w:rPr>
              <w:t>Contributor</w:t>
            </w:r>
          </w:p>
        </w:tc>
        <w:tc>
          <w:tcPr>
            <w:tcW w:type="dxa" w:w="3168"/>
            <w:vAlign w:val="top"/>
            <w:tcMar>
              <w:top w:w="90" w:type="dxa"/>
              <w:start w:w="90" w:type="dxa"/>
              <w:bottom w:w="90" w:type="dxa"/>
              <w:end w:w="90" w:type="dxa"/>
            </w:tcMar>
            <w:shd w:fill="FAFCFE"/>
          </w:tcPr>
          <w:p>
            <w:pPr>
              <w:spacing w:after="0"/>
            </w:pPr>
            <w:r>
              <w:rPr>
                <w:sz w:val="16"/>
              </w:rPr>
            </w:r>
            <w:r>
              <w:rPr>
                <w:b w:val="0"/>
                <w:sz w:val="16"/>
              </w:rPr>
              <w:t>Students only on assigned lab resource group</w:t>
            </w:r>
          </w:p>
        </w:tc>
        <w:tc>
          <w:tcPr>
            <w:tcW w:type="dxa" w:w="5616"/>
            <w:vAlign w:val="top"/>
            <w:tcMar>
              <w:top w:w="90" w:type="dxa"/>
              <w:start w:w="90" w:type="dxa"/>
              <w:bottom w:w="90" w:type="dxa"/>
              <w:end w:w="90" w:type="dxa"/>
            </w:tcMar>
            <w:shd w:fill="FAFCFE"/>
          </w:tcPr>
          <w:p>
            <w:pPr>
              <w:spacing w:after="0"/>
            </w:pPr>
            <w:r>
              <w:rPr>
                <w:sz w:val="16"/>
              </w:rPr>
            </w:r>
            <w:r>
              <w:rPr>
                <w:b w:val="0"/>
                <w:sz w:val="16"/>
              </w:rPr>
              <w:t>Create lab resources and perform controlled remediation tasks.</w:t>
            </w:r>
          </w:p>
        </w:tc>
      </w:tr>
      <w:tr>
        <w:trPr>
          <w:trHeight w:hRule="atLeast"/>
        </w:trPr>
        <w:tc>
          <w:tcPr>
            <w:tcW w:type="dxa" w:w="1872"/>
            <w:vAlign w:val="top"/>
            <w:tcMar>
              <w:top w:w="90" w:type="dxa"/>
              <w:start w:w="90" w:type="dxa"/>
              <w:bottom w:w="90" w:type="dxa"/>
              <w:end w:w="90" w:type="dxa"/>
            </w:tcMar>
          </w:tcPr>
          <w:p>
            <w:pPr>
              <w:spacing w:after="0"/>
            </w:pPr>
            <w:r>
              <w:rPr>
                <w:b/>
                <w:color w:val="122A44"/>
                <w:sz w:val="16"/>
              </w:rPr>
            </w:r>
            <w:r>
              <w:rPr>
                <w:b/>
                <w:color w:val="122A44"/>
                <w:sz w:val="16"/>
              </w:rPr>
              <w:t>Security Admin</w:t>
            </w:r>
          </w:p>
        </w:tc>
        <w:tc>
          <w:tcPr>
            <w:tcW w:type="dxa" w:w="3168"/>
            <w:vAlign w:val="top"/>
            <w:tcMar>
              <w:top w:w="90" w:type="dxa"/>
              <w:start w:w="90" w:type="dxa"/>
              <w:bottom w:w="90" w:type="dxa"/>
              <w:end w:w="90" w:type="dxa"/>
            </w:tcMar>
          </w:tcPr>
          <w:p>
            <w:pPr>
              <w:spacing w:after="0"/>
            </w:pPr>
            <w:r>
              <w:rPr>
                <w:sz w:val="16"/>
              </w:rPr>
            </w:r>
            <w:r>
              <w:rPr>
                <w:b w:val="0"/>
                <w:sz w:val="16"/>
              </w:rPr>
              <w:t>Instructor or lab lead</w:t>
            </w:r>
          </w:p>
        </w:tc>
        <w:tc>
          <w:tcPr>
            <w:tcW w:type="dxa" w:w="5616"/>
            <w:vAlign w:val="top"/>
            <w:tcMar>
              <w:top w:w="90" w:type="dxa"/>
              <w:start w:w="90" w:type="dxa"/>
              <w:bottom w:w="90" w:type="dxa"/>
              <w:end w:w="90" w:type="dxa"/>
            </w:tcMar>
          </w:tcPr>
          <w:p>
            <w:pPr>
              <w:spacing w:after="0"/>
            </w:pPr>
            <w:r>
              <w:rPr>
                <w:sz w:val="16"/>
              </w:rPr>
            </w:r>
            <w:r>
              <w:rPr>
                <w:b w:val="0"/>
                <w:sz w:val="16"/>
              </w:rPr>
              <w:t>Enable/disable Defender plans and manage security policy where required.</w:t>
            </w:r>
          </w:p>
        </w:tc>
      </w:tr>
      <w:tr>
        <w:trPr>
          <w:trHeight w:hRule="atLeast"/>
        </w:trPr>
        <w:tc>
          <w:tcPr>
            <w:tcW w:type="dxa" w:w="1872"/>
            <w:vAlign w:val="top"/>
            <w:tcMar>
              <w:top w:w="90" w:type="dxa"/>
              <w:start w:w="90" w:type="dxa"/>
              <w:bottom w:w="90" w:type="dxa"/>
              <w:end w:w="90" w:type="dxa"/>
            </w:tcMar>
            <w:shd w:fill="FAFCFE"/>
          </w:tcPr>
          <w:p>
            <w:pPr>
              <w:spacing w:after="0"/>
            </w:pPr>
            <w:r>
              <w:rPr>
                <w:b/>
                <w:color w:val="122A44"/>
                <w:sz w:val="16"/>
              </w:rPr>
            </w:r>
            <w:r>
              <w:rPr>
                <w:b/>
                <w:color w:val="122A44"/>
                <w:sz w:val="16"/>
              </w:rPr>
              <w:t>Owner</w:t>
            </w:r>
          </w:p>
        </w:tc>
        <w:tc>
          <w:tcPr>
            <w:tcW w:type="dxa" w:w="3168"/>
            <w:vAlign w:val="top"/>
            <w:tcMar>
              <w:top w:w="90" w:type="dxa"/>
              <w:start w:w="90" w:type="dxa"/>
              <w:bottom w:w="90" w:type="dxa"/>
              <w:end w:w="90" w:type="dxa"/>
            </w:tcMar>
            <w:shd w:fill="FAFCFE"/>
          </w:tcPr>
          <w:p>
            <w:pPr>
              <w:spacing w:after="0"/>
            </w:pPr>
            <w:r>
              <w:rPr>
                <w:sz w:val="16"/>
              </w:rPr>
            </w:r>
            <w:r>
              <w:rPr>
                <w:b w:val="0"/>
                <w:sz w:val="16"/>
              </w:rPr>
              <w:t>Instructor/lab lead only</w:t>
            </w:r>
          </w:p>
        </w:tc>
        <w:tc>
          <w:tcPr>
            <w:tcW w:type="dxa" w:w="5616"/>
            <w:vAlign w:val="top"/>
            <w:tcMar>
              <w:top w:w="90" w:type="dxa"/>
              <w:start w:w="90" w:type="dxa"/>
              <w:bottom w:w="90" w:type="dxa"/>
              <w:end w:w="90" w:type="dxa"/>
            </w:tcMar>
            <w:shd w:fill="FAFCFE"/>
          </w:tcPr>
          <w:p>
            <w:pPr>
              <w:spacing w:after="0"/>
            </w:pPr>
            <w:r>
              <w:rPr>
                <w:sz w:val="16"/>
              </w:rPr>
            </w:r>
            <w:r>
              <w:rPr>
                <w:b w:val="0"/>
                <w:sz w:val="16"/>
              </w:rPr>
              <w:t>Required where full Defender plan capability enablement is needed.</w:t>
            </w:r>
          </w:p>
        </w:tc>
      </w:tr>
      <w:tr>
        <w:trPr>
          <w:trHeight w:hRule="atLeast"/>
        </w:trPr>
        <w:tc>
          <w:tcPr>
            <w:tcW w:type="dxa" w:w="1872"/>
            <w:vAlign w:val="top"/>
            <w:tcMar>
              <w:top w:w="90" w:type="dxa"/>
              <w:start w:w="90" w:type="dxa"/>
              <w:bottom w:w="90" w:type="dxa"/>
              <w:end w:w="90" w:type="dxa"/>
            </w:tcMar>
          </w:tcPr>
          <w:p>
            <w:pPr>
              <w:spacing w:after="0"/>
            </w:pPr>
            <w:r>
              <w:rPr>
                <w:b/>
                <w:color w:val="122A44"/>
                <w:sz w:val="16"/>
              </w:rPr>
            </w:r>
            <w:r>
              <w:rPr>
                <w:b/>
                <w:color w:val="122A44"/>
                <w:sz w:val="16"/>
              </w:rPr>
              <w:t>Global Administrator</w:t>
            </w:r>
          </w:p>
        </w:tc>
        <w:tc>
          <w:tcPr>
            <w:tcW w:type="dxa" w:w="3168"/>
            <w:vAlign w:val="top"/>
            <w:tcMar>
              <w:top w:w="90" w:type="dxa"/>
              <w:start w:w="90" w:type="dxa"/>
              <w:bottom w:w="90" w:type="dxa"/>
              <w:end w:w="90" w:type="dxa"/>
            </w:tcMar>
          </w:tcPr>
          <w:p>
            <w:pPr>
              <w:spacing w:after="0"/>
            </w:pPr>
            <w:r>
              <w:rPr>
                <w:sz w:val="16"/>
              </w:rPr>
            </w:r>
            <w:r>
              <w:rPr>
                <w:b w:val="0"/>
                <w:sz w:val="16"/>
              </w:rPr>
              <w:t>Avoid for students</w:t>
            </w:r>
          </w:p>
        </w:tc>
        <w:tc>
          <w:tcPr>
            <w:tcW w:type="dxa" w:w="5616"/>
            <w:vAlign w:val="top"/>
            <w:tcMar>
              <w:top w:w="90" w:type="dxa"/>
              <w:start w:w="90" w:type="dxa"/>
              <w:bottom w:w="90" w:type="dxa"/>
              <w:end w:w="90" w:type="dxa"/>
            </w:tcMar>
          </w:tcPr>
          <w:p>
            <w:pPr>
              <w:spacing w:after="0"/>
            </w:pPr>
            <w:r>
              <w:rPr>
                <w:sz w:val="16"/>
              </w:rPr>
            </w:r>
            <w:r>
              <w:rPr>
                <w:b w:val="0"/>
                <w:sz w:val="16"/>
              </w:rPr>
              <w:t>Reserve for break-glass or controlled instructor activity only.</w:t>
            </w:r>
          </w:p>
        </w:tc>
      </w:tr>
    </w:tbl>
    <w:p/>
    <w:p>
      <w:pPr>
        <w:pStyle w:val="Heading2"/>
        <w:keepNext/>
      </w:pPr>
      <w:r>
        <w:rPr>
          <w:rFonts w:ascii="Aptos" w:hAnsi="Aptos" w:eastAsia="Aptos"/>
        </w:rPr>
        <w:t>3.1 Permission rules</w:t>
      </w:r>
    </w:p>
    <w:p>
      <w:pPr>
        <w:pStyle w:val="ListBullet"/>
        <w:spacing w:after="60"/>
      </w:pPr>
      <w:r>
        <w:rPr>
          <w:rFonts w:ascii="Aptos" w:hAnsi="Aptos" w:eastAsia="Aptos"/>
        </w:rPr>
        <w:t>Do not give all students broad subscription Owner rights unless the subscription is fully disposable.</w:t>
      </w:r>
    </w:p>
    <w:p>
      <w:pPr>
        <w:pStyle w:val="ListBullet"/>
        <w:spacing w:after="60"/>
      </w:pPr>
      <w:r>
        <w:rPr>
          <w:rFonts w:ascii="Aptos" w:hAnsi="Aptos" w:eastAsia="Aptos"/>
        </w:rPr>
        <w:t>Assign Contributor at resource group scope only when learners need to create or modify lab resources.</w:t>
      </w:r>
    </w:p>
    <w:p>
      <w:pPr>
        <w:pStyle w:val="ListBullet"/>
        <w:spacing w:after="60"/>
      </w:pPr>
      <w:r>
        <w:rPr>
          <w:rFonts w:ascii="Aptos" w:hAnsi="Aptos" w:eastAsia="Aptos"/>
        </w:rPr>
        <w:t>Reserve Security Admin and Owner roles for instructor or lab lead actions.</w:t>
      </w:r>
    </w:p>
    <w:p>
      <w:pPr>
        <w:pStyle w:val="ListBullet"/>
        <w:spacing w:after="60"/>
      </w:pPr>
      <w:r>
        <w:rPr>
          <w:rFonts w:ascii="Aptos" w:hAnsi="Aptos" w:eastAsia="Aptos"/>
        </w:rPr>
        <w:t>Remove temporary role assignments during cleanup.</w:t>
      </w:r>
    </w:p>
    <w:p>
      <w:pPr>
        <w:pStyle w:val="ListBullet"/>
        <w:spacing w:after="60"/>
      </w:pPr>
      <w:r>
        <w:rPr>
          <w:rFonts w:ascii="Aptos" w:hAnsi="Aptos" w:eastAsia="Aptos"/>
        </w:rPr>
        <w:t>Use Privileged Identity Management (PIM) where available for time-bound elevation.</w:t>
      </w:r>
    </w:p>
    <w:p>
      <w:pPr>
        <w:pStyle w:val="ListBullet"/>
        <w:spacing w:after="60"/>
      </w:pPr>
      <w:r>
        <w:rPr>
          <w:rFonts w:ascii="Aptos" w:hAnsi="Aptos" w:eastAsia="Aptos"/>
        </w:rPr>
        <w:t>Keep a break-glass account under customer/instructor control for live-environment scenarios.</w:t>
      </w:r>
    </w:p>
    <w:p>
      <w:r>
        <w:rPr>
          <w:rFonts w:ascii="Aptos" w:hAnsi="Aptos" w:eastAsia="Aptos"/>
        </w:rPr>
        <w:br w:type="page"/>
      </w:r>
    </w:p>
    <w:p>
      <w:pPr>
        <w:pStyle w:val="Heading1"/>
        <w:keepNext/>
      </w:pPr>
      <w:r>
        <w:rPr>
          <w:rFonts w:ascii="Aptos" w:hAnsi="Aptos" w:eastAsia="Aptos"/>
        </w:rPr>
        <w:t>4. Licensing Requirements</w:t>
      </w:r>
    </w:p>
    <w:tbl>
      <w:tblPr>
        <w:tblStyle w:val="TableGrid"/>
        <w:tblW w:type="auto" w:w="0"/>
        <w:jc w:val="center"/>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12"/>
        <w:gridCol w:w="5112"/>
      </w:tblGrid>
      <w:tr>
        <w:trPr>
          <w:trHeight w:hRule="atLeast"/>
          <w:tblHeader w:val="true"/>
        </w:trPr>
        <w:tc>
          <w:tcPr>
            <w:tcW w:type="dxa" w:w="3456"/>
            <w:shd w:fill="122A44"/>
            <w:vAlign w:val="top"/>
            <w:tcMar>
              <w:top w:w="90" w:type="dxa"/>
              <w:start w:w="90" w:type="dxa"/>
              <w:bottom w:w="90" w:type="dxa"/>
              <w:end w:w="90" w:type="dxa"/>
            </w:tcMar>
          </w:tcPr>
          <w:p>
            <w:pPr>
              <w:spacing w:after="0"/>
            </w:pPr>
            <w:r>
              <w:rPr>
                <w:b/>
                <w:color w:val="FFFFFF"/>
                <w:sz w:val="16"/>
              </w:rPr>
            </w:r>
            <w:r>
              <w:rPr>
                <w:b/>
                <w:color w:val="FFFFFF"/>
                <w:sz w:val="16"/>
              </w:rPr>
              <w:t>Lab Area</w:t>
            </w:r>
          </w:p>
        </w:tc>
        <w:tc>
          <w:tcPr>
            <w:tcW w:type="dxa" w:w="7200"/>
            <w:shd w:fill="122A44"/>
            <w:vAlign w:val="top"/>
            <w:tcMar>
              <w:top w:w="90" w:type="dxa"/>
              <w:start w:w="90" w:type="dxa"/>
              <w:bottom w:w="90" w:type="dxa"/>
              <w:end w:w="90" w:type="dxa"/>
            </w:tcMar>
          </w:tcPr>
          <w:p>
            <w:pPr>
              <w:spacing w:after="0"/>
            </w:pPr>
            <w:r>
              <w:rPr>
                <w:b/>
                <w:color w:val="FFFFFF"/>
                <w:sz w:val="16"/>
              </w:rPr>
            </w:r>
            <w:r>
              <w:rPr>
                <w:b/>
                <w:color w:val="FFFFFF"/>
                <w:sz w:val="16"/>
              </w:rPr>
              <w:t>Requirement</w:t>
            </w:r>
          </w:p>
        </w:tc>
      </w:tr>
      <w:tr>
        <w:trPr>
          <w:trHeight w:hRule="atLeast"/>
        </w:trPr>
        <w:tc>
          <w:tcPr>
            <w:tcW w:type="dxa" w:w="3456"/>
            <w:vAlign w:val="top"/>
            <w:tcMar>
              <w:top w:w="90" w:type="dxa"/>
              <w:start w:w="90" w:type="dxa"/>
              <w:bottom w:w="90" w:type="dxa"/>
              <w:end w:w="90" w:type="dxa"/>
            </w:tcMar>
          </w:tcPr>
          <w:p>
            <w:pPr>
              <w:spacing w:after="0"/>
            </w:pPr>
            <w:r>
              <w:rPr>
                <w:b/>
                <w:color w:val="122A44"/>
                <w:sz w:val="16"/>
              </w:rPr>
            </w:r>
            <w:r>
              <w:rPr>
                <w:b/>
                <w:color w:val="122A44"/>
                <w:sz w:val="16"/>
              </w:rPr>
              <w:t>Core CSPM labs</w:t>
            </w:r>
          </w:p>
        </w:tc>
        <w:tc>
          <w:tcPr>
            <w:tcW w:type="dxa" w:w="7200"/>
            <w:vAlign w:val="top"/>
            <w:tcMar>
              <w:top w:w="90" w:type="dxa"/>
              <w:start w:w="90" w:type="dxa"/>
              <w:bottom w:w="90" w:type="dxa"/>
              <w:end w:w="90" w:type="dxa"/>
            </w:tcMar>
          </w:tcPr>
          <w:p>
            <w:pPr>
              <w:spacing w:after="0"/>
            </w:pPr>
            <w:r>
              <w:rPr>
                <w:sz w:val="16"/>
              </w:rPr>
            </w:r>
            <w:r>
              <w:rPr>
                <w:b w:val="0"/>
                <w:sz w:val="16"/>
              </w:rPr>
              <w:t>Azure subscription with Defender for Cloud enabled. Foundational CSPM is the minimum.</w:t>
            </w:r>
          </w:p>
        </w:tc>
      </w:tr>
      <w:tr>
        <w:trPr>
          <w:trHeight w:hRule="atLeast"/>
        </w:trPr>
        <w:tc>
          <w:tcPr>
            <w:tcW w:type="dxa" w:w="3456"/>
            <w:vAlign w:val="top"/>
            <w:tcMar>
              <w:top w:w="90" w:type="dxa"/>
              <w:start w:w="90" w:type="dxa"/>
              <w:bottom w:w="90" w:type="dxa"/>
              <w:end w:w="90" w:type="dxa"/>
            </w:tcMar>
            <w:shd w:fill="FAFCFE"/>
          </w:tcPr>
          <w:p>
            <w:pPr>
              <w:spacing w:after="0"/>
            </w:pPr>
            <w:r>
              <w:rPr>
                <w:b/>
                <w:color w:val="122A44"/>
                <w:sz w:val="16"/>
              </w:rPr>
            </w:r>
            <w:r>
              <w:rPr>
                <w:b/>
                <w:color w:val="122A44"/>
                <w:sz w:val="16"/>
              </w:rPr>
              <w:t>Defender for Storage</w:t>
            </w:r>
          </w:p>
        </w:tc>
        <w:tc>
          <w:tcPr>
            <w:tcW w:type="dxa" w:w="7200"/>
            <w:vAlign w:val="top"/>
            <w:tcMar>
              <w:top w:w="90" w:type="dxa"/>
              <w:start w:w="90" w:type="dxa"/>
              <w:bottom w:w="90" w:type="dxa"/>
              <w:end w:w="90" w:type="dxa"/>
            </w:tcMar>
            <w:shd w:fill="FAFCFE"/>
          </w:tcPr>
          <w:p>
            <w:pPr>
              <w:spacing w:after="0"/>
            </w:pPr>
            <w:r>
              <w:rPr>
                <w:sz w:val="16"/>
              </w:rPr>
            </w:r>
            <w:r>
              <w:rPr>
                <w:b w:val="0"/>
                <w:sz w:val="16"/>
              </w:rPr>
              <w:t>Enable the Defender for Storage plan only if the storage workload module is selected. Use test files only.</w:t>
            </w:r>
          </w:p>
        </w:tc>
      </w:tr>
      <w:tr>
        <w:trPr>
          <w:trHeight w:hRule="atLeast"/>
        </w:trPr>
        <w:tc>
          <w:tcPr>
            <w:tcW w:type="dxa" w:w="3456"/>
            <w:vAlign w:val="top"/>
            <w:tcMar>
              <w:top w:w="90" w:type="dxa"/>
              <w:start w:w="90" w:type="dxa"/>
              <w:bottom w:w="90" w:type="dxa"/>
              <w:end w:w="90" w:type="dxa"/>
            </w:tcMar>
          </w:tcPr>
          <w:p>
            <w:pPr>
              <w:spacing w:after="0"/>
            </w:pPr>
            <w:r>
              <w:rPr>
                <w:b/>
                <w:color w:val="122A44"/>
                <w:sz w:val="16"/>
              </w:rPr>
            </w:r>
            <w:r>
              <w:rPr>
                <w:b/>
                <w:color w:val="122A44"/>
                <w:sz w:val="16"/>
              </w:rPr>
              <w:t>Defender for Containers</w:t>
            </w:r>
          </w:p>
        </w:tc>
        <w:tc>
          <w:tcPr>
            <w:tcW w:type="dxa" w:w="7200"/>
            <w:vAlign w:val="top"/>
            <w:tcMar>
              <w:top w:w="90" w:type="dxa"/>
              <w:start w:w="90" w:type="dxa"/>
              <w:bottom w:w="90" w:type="dxa"/>
              <w:end w:w="90" w:type="dxa"/>
            </w:tcMar>
          </w:tcPr>
          <w:p>
            <w:pPr>
              <w:spacing w:after="0"/>
            </w:pPr>
            <w:r>
              <w:rPr>
                <w:sz w:val="16"/>
              </w:rPr>
            </w:r>
            <w:r>
              <w:rPr>
                <w:b w:val="0"/>
                <w:sz w:val="16"/>
              </w:rPr>
              <w:t>Defender for Containers plan plus AKS or supported Kubernetes environment, required network access, and permissions.</w:t>
            </w:r>
          </w:p>
        </w:tc>
      </w:tr>
      <w:tr>
        <w:trPr>
          <w:trHeight w:hRule="atLeast"/>
        </w:trPr>
        <w:tc>
          <w:tcPr>
            <w:tcW w:type="dxa" w:w="3456"/>
            <w:vAlign w:val="top"/>
            <w:tcMar>
              <w:top w:w="90" w:type="dxa"/>
              <w:start w:w="90" w:type="dxa"/>
              <w:bottom w:w="90" w:type="dxa"/>
              <w:end w:w="90" w:type="dxa"/>
            </w:tcMar>
            <w:shd w:fill="FAFCFE"/>
          </w:tcPr>
          <w:p>
            <w:pPr>
              <w:spacing w:after="0"/>
            </w:pPr>
            <w:r>
              <w:rPr>
                <w:b/>
                <w:color w:val="122A44"/>
                <w:sz w:val="16"/>
              </w:rPr>
            </w:r>
            <w:r>
              <w:rPr>
                <w:b/>
                <w:color w:val="122A44"/>
                <w:sz w:val="16"/>
              </w:rPr>
              <w:t>Defender for App Service</w:t>
            </w:r>
          </w:p>
        </w:tc>
        <w:tc>
          <w:tcPr>
            <w:tcW w:type="dxa" w:w="7200"/>
            <w:vAlign w:val="top"/>
            <w:tcMar>
              <w:top w:w="90" w:type="dxa"/>
              <w:start w:w="90" w:type="dxa"/>
              <w:bottom w:w="90" w:type="dxa"/>
              <w:end w:w="90" w:type="dxa"/>
            </w:tcMar>
            <w:shd w:fill="FAFCFE"/>
          </w:tcPr>
          <w:p>
            <w:pPr>
              <w:spacing w:after="0"/>
            </w:pPr>
            <w:r>
              <w:rPr>
                <w:sz w:val="16"/>
              </w:rPr>
            </w:r>
            <w:r>
              <w:rPr>
                <w:b w:val="0"/>
                <w:sz w:val="16"/>
              </w:rPr>
              <w:t>App Service plan, sample non-production web app, optional diagnostics/logging for alerts or recommendations.</w:t>
            </w:r>
          </w:p>
        </w:tc>
      </w:tr>
      <w:tr>
        <w:trPr>
          <w:trHeight w:hRule="atLeast"/>
        </w:trPr>
        <w:tc>
          <w:tcPr>
            <w:tcW w:type="dxa" w:w="3456"/>
            <w:vAlign w:val="top"/>
            <w:tcMar>
              <w:top w:w="90" w:type="dxa"/>
              <w:start w:w="90" w:type="dxa"/>
              <w:bottom w:w="90" w:type="dxa"/>
              <w:end w:w="90" w:type="dxa"/>
            </w:tcMar>
          </w:tcPr>
          <w:p>
            <w:pPr>
              <w:spacing w:after="0"/>
            </w:pPr>
            <w:r>
              <w:rPr>
                <w:b/>
                <w:color w:val="122A44"/>
                <w:sz w:val="16"/>
              </w:rPr>
            </w:r>
            <w:r>
              <w:rPr>
                <w:b/>
                <w:color w:val="122A44"/>
                <w:sz w:val="16"/>
              </w:rPr>
              <w:t>Defender for AI Services / Foundry</w:t>
            </w:r>
          </w:p>
        </w:tc>
        <w:tc>
          <w:tcPr>
            <w:tcW w:type="dxa" w:w="7200"/>
            <w:vAlign w:val="top"/>
            <w:tcMar>
              <w:top w:w="90" w:type="dxa"/>
              <w:start w:w="90" w:type="dxa"/>
              <w:bottom w:w="90" w:type="dxa"/>
              <w:end w:w="90" w:type="dxa"/>
            </w:tcMar>
          </w:tcPr>
          <w:p>
            <w:pPr>
              <w:spacing w:after="0"/>
            </w:pPr>
            <w:r>
              <w:rPr>
                <w:sz w:val="16"/>
              </w:rPr>
            </w:r>
            <w:r>
              <w:rPr>
                <w:b w:val="0"/>
                <w:sz w:val="16"/>
              </w:rPr>
              <w:t>Azure AI or Microsoft Foundry resources, model/service endpoint, Defender AI protection capability, and Owner or Contributor on target subscription for plan enablement.</w:t>
            </w:r>
          </w:p>
        </w:tc>
      </w:tr>
      <w:tr>
        <w:trPr>
          <w:trHeight w:hRule="atLeast"/>
        </w:trPr>
        <w:tc>
          <w:tcPr>
            <w:tcW w:type="dxa" w:w="3456"/>
            <w:vAlign w:val="top"/>
            <w:tcMar>
              <w:top w:w="90" w:type="dxa"/>
              <w:start w:w="90" w:type="dxa"/>
              <w:bottom w:w="90" w:type="dxa"/>
              <w:end w:w="90" w:type="dxa"/>
            </w:tcMar>
            <w:shd w:fill="FAFCFE"/>
          </w:tcPr>
          <w:p>
            <w:pPr>
              <w:spacing w:after="0"/>
            </w:pPr>
            <w:r>
              <w:rPr>
                <w:b/>
                <w:color w:val="122A44"/>
                <w:sz w:val="16"/>
              </w:rPr>
            </w:r>
            <w:r>
              <w:rPr>
                <w:b/>
                <w:color w:val="122A44"/>
                <w:sz w:val="16"/>
              </w:rPr>
              <w:t>Microsoft Entra identity labs</w:t>
            </w:r>
          </w:p>
        </w:tc>
        <w:tc>
          <w:tcPr>
            <w:tcW w:type="dxa" w:w="7200"/>
            <w:vAlign w:val="top"/>
            <w:tcMar>
              <w:top w:w="90" w:type="dxa"/>
              <w:start w:w="90" w:type="dxa"/>
              <w:bottom w:w="90" w:type="dxa"/>
              <w:end w:w="90" w:type="dxa"/>
            </w:tcMar>
            <w:shd w:fill="FAFCFE"/>
          </w:tcPr>
          <w:p>
            <w:pPr>
              <w:spacing w:after="0"/>
            </w:pPr>
            <w:r>
              <w:rPr>
                <w:sz w:val="16"/>
              </w:rPr>
            </w:r>
            <w:r>
              <w:rPr>
                <w:b w:val="0"/>
                <w:sz w:val="16"/>
              </w:rPr>
              <w:t>Entra ID access. Entra ID P1/P2 may be required for Conditional Access, Identity Protection, PIM, or identity governance labs.</w:t>
            </w:r>
          </w:p>
        </w:tc>
      </w:tr>
      <w:tr>
        <w:trPr>
          <w:trHeight w:hRule="atLeast"/>
        </w:trPr>
        <w:tc>
          <w:tcPr>
            <w:tcW w:type="dxa" w:w="3456"/>
            <w:vAlign w:val="top"/>
            <w:tcMar>
              <w:top w:w="90" w:type="dxa"/>
              <w:start w:w="90" w:type="dxa"/>
              <w:bottom w:w="90" w:type="dxa"/>
              <w:end w:w="90" w:type="dxa"/>
            </w:tcMar>
          </w:tcPr>
          <w:p>
            <w:pPr>
              <w:spacing w:after="0"/>
            </w:pPr>
            <w:r>
              <w:rPr>
                <w:b/>
                <w:color w:val="122A44"/>
                <w:sz w:val="16"/>
              </w:rPr>
            </w:r>
            <w:r>
              <w:rPr>
                <w:b/>
                <w:color w:val="122A44"/>
                <w:sz w:val="16"/>
              </w:rPr>
              <w:t>Purview-related AI/data labs</w:t>
            </w:r>
          </w:p>
        </w:tc>
        <w:tc>
          <w:tcPr>
            <w:tcW w:type="dxa" w:w="7200"/>
            <w:vAlign w:val="top"/>
            <w:tcMar>
              <w:top w:w="90" w:type="dxa"/>
              <w:start w:w="90" w:type="dxa"/>
              <w:bottom w:w="90" w:type="dxa"/>
              <w:end w:w="90" w:type="dxa"/>
            </w:tcMar>
          </w:tcPr>
          <w:p>
            <w:pPr>
              <w:spacing w:after="0"/>
            </w:pPr>
            <w:r>
              <w:rPr>
                <w:sz w:val="16"/>
              </w:rPr>
            </w:r>
            <w:r>
              <w:rPr>
                <w:b w:val="0"/>
                <w:sz w:val="16"/>
              </w:rPr>
              <w:t>Purview licensing check required if using data classification, DLP, Data Security Posture Management, or AI data security scenarios.</w:t>
            </w:r>
          </w:p>
        </w:tc>
      </w:tr>
      <w:tr>
        <w:trPr>
          <w:trHeight w:hRule="atLeast"/>
        </w:trPr>
        <w:tc>
          <w:tcPr>
            <w:tcW w:type="dxa" w:w="3456"/>
            <w:vAlign w:val="top"/>
            <w:tcMar>
              <w:top w:w="90" w:type="dxa"/>
              <w:start w:w="90" w:type="dxa"/>
              <w:bottom w:w="90" w:type="dxa"/>
              <w:end w:w="90" w:type="dxa"/>
            </w:tcMar>
            <w:shd w:fill="FAFCFE"/>
          </w:tcPr>
          <w:p>
            <w:pPr>
              <w:spacing w:after="0"/>
            </w:pPr>
            <w:r>
              <w:rPr>
                <w:b/>
                <w:color w:val="122A44"/>
                <w:sz w:val="16"/>
              </w:rPr>
            </w:r>
            <w:r>
              <w:rPr>
                <w:b/>
                <w:color w:val="122A44"/>
                <w:sz w:val="16"/>
              </w:rPr>
              <w:t>Microsoft Learn</w:t>
            </w:r>
          </w:p>
        </w:tc>
        <w:tc>
          <w:tcPr>
            <w:tcW w:type="dxa" w:w="7200"/>
            <w:vAlign w:val="top"/>
            <w:tcMar>
              <w:top w:w="90" w:type="dxa"/>
              <w:start w:w="90" w:type="dxa"/>
              <w:bottom w:w="90" w:type="dxa"/>
              <w:end w:w="90" w:type="dxa"/>
            </w:tcMar>
            <w:shd w:fill="FAFCFE"/>
          </w:tcPr>
          <w:p>
            <w:pPr>
              <w:spacing w:after="0"/>
            </w:pPr>
            <w:r>
              <w:rPr>
                <w:sz w:val="16"/>
              </w:rPr>
            </w:r>
            <w:r>
              <w:rPr>
                <w:b w:val="0"/>
                <w:sz w:val="16"/>
              </w:rPr>
              <w:t>Student Microsoft Learn account for pre-work, self-paced modules, and progress tracking.</w:t>
            </w:r>
          </w:p>
        </w:tc>
      </w:tr>
    </w:tbl>
    <w:p/>
    <w:p>
      <w:pPr>
        <w:pStyle w:val="Heading2"/>
        <w:keepNext/>
      </w:pPr>
      <w:r>
        <w:rPr>
          <w:rFonts w:ascii="Aptos" w:hAnsi="Aptos" w:eastAsia="Aptos"/>
        </w:rPr>
        <w:t>4.1 Licensing decision checkpoints</w:t>
      </w:r>
    </w:p>
    <w:p>
      <w:pPr>
        <w:pStyle w:val="ListBullet"/>
        <w:spacing w:after="60"/>
      </w:pPr>
      <w:r>
        <w:rPr>
          <w:rFonts w:ascii="Aptos" w:hAnsi="Aptos" w:eastAsia="Aptos"/>
        </w:rPr>
        <w:t>[ ] Confirm which two workload protection modules are included in the delivery.</w:t>
      </w:r>
    </w:p>
    <w:p>
      <w:pPr>
        <w:pStyle w:val="ListBullet"/>
        <w:spacing w:after="60"/>
      </w:pPr>
      <w:r>
        <w:rPr>
          <w:rFonts w:ascii="Aptos" w:hAnsi="Aptos" w:eastAsia="Aptos"/>
        </w:rPr>
        <w:t>[ ] Confirm whether paid Defender plans must be enabled or whether screenshots/simulated findings will be used.</w:t>
      </w:r>
    </w:p>
    <w:p>
      <w:pPr>
        <w:pStyle w:val="ListBullet"/>
        <w:spacing w:after="60"/>
      </w:pPr>
      <w:r>
        <w:rPr>
          <w:rFonts w:ascii="Aptos" w:hAnsi="Aptos" w:eastAsia="Aptos"/>
        </w:rPr>
        <w:t>[ ] Confirm whether Azure AI or Foundry resources are already available.</w:t>
      </w:r>
    </w:p>
    <w:p>
      <w:pPr>
        <w:pStyle w:val="ListBullet"/>
        <w:spacing w:after="60"/>
      </w:pPr>
      <w:r>
        <w:rPr>
          <w:rFonts w:ascii="Aptos" w:hAnsi="Aptos" w:eastAsia="Aptos"/>
        </w:rPr>
        <w:t>[ ] Confirm whether Purview capabilities are included or excluded.</w:t>
      </w:r>
    </w:p>
    <w:p>
      <w:pPr>
        <w:pStyle w:val="ListBullet"/>
        <w:spacing w:after="60"/>
      </w:pPr>
      <w:r>
        <w:rPr>
          <w:rFonts w:ascii="Aptos" w:hAnsi="Aptos" w:eastAsia="Aptos"/>
        </w:rPr>
        <w:t>[ ] Confirm whether Entra premium capabilities are needed for identity labs.</w:t>
      </w:r>
    </w:p>
    <w:p>
      <w:pPr>
        <w:pStyle w:val="ListBullet"/>
        <w:spacing w:after="60"/>
      </w:pPr>
      <w:r>
        <w:rPr>
          <w:rFonts w:ascii="Aptos" w:hAnsi="Aptos" w:eastAsia="Aptos"/>
        </w:rPr>
        <w:t>[ ] Confirm whether the customer wants plans disabled after training or retained for operational use.</w:t>
      </w:r>
    </w:p>
    <w:p>
      <w:r>
        <w:rPr>
          <w:rFonts w:ascii="Aptos" w:hAnsi="Aptos" w:eastAsia="Aptos"/>
        </w:rPr>
        <w:br w:type="page"/>
      </w:r>
    </w:p>
    <w:p>
      <w:pPr>
        <w:pStyle w:val="Heading1"/>
        <w:keepNext/>
      </w:pPr>
      <w:r>
        <w:rPr>
          <w:rFonts w:ascii="Aptos" w:hAnsi="Aptos" w:eastAsia="Aptos"/>
        </w:rPr>
        <w:t>5. Estimated Cost Exposure</w:t>
      </w:r>
    </w:p>
    <w:p>
      <w:r>
        <w:rPr>
          <w:rFonts w:ascii="Aptos" w:hAnsi="Aptos" w:eastAsia="Aptos"/>
          <w:b/>
        </w:rPr>
        <w:t xml:space="preserve">Important. </w:t>
      </w:r>
      <w:r>
        <w:rPr>
          <w:rFonts w:ascii="Aptos" w:hAnsi="Aptos" w:eastAsia="Aptos"/>
        </w:rPr>
        <w:t>Do not publish fixed Azure prices in the courseware. Azure pricing varies by region, SKU, meter, workload count, usage pattern, and Microsoft licensing changes. The instructor or customer must validate pricing before delivery using the Azure Pricing Calculator, Defender for Cloud pricing guidance, and the customer billing context.</w:t>
      </w:r>
    </w:p>
    <w:tbl>
      <w:tblPr>
        <w:tblStyle w:val="TableGrid"/>
        <w:tblW w:type="auto" w:w="0"/>
        <w:jc w:val="center"/>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3408"/>
        <w:gridCol w:w="3408"/>
        <w:gridCol w:w="3408"/>
      </w:tblGrid>
      <w:tr>
        <w:trPr>
          <w:trHeight w:hRule="atLeast"/>
          <w:tblHeader w:val="true"/>
        </w:trPr>
        <w:tc>
          <w:tcPr>
            <w:tcW w:type="dxa" w:w="2880"/>
            <w:shd w:fill="005A9C"/>
            <w:vAlign w:val="top"/>
            <w:tcMar>
              <w:top w:w="90" w:type="dxa"/>
              <w:start w:w="90" w:type="dxa"/>
              <w:bottom w:w="90" w:type="dxa"/>
              <w:end w:w="90" w:type="dxa"/>
            </w:tcMar>
          </w:tcPr>
          <w:p>
            <w:pPr>
              <w:spacing w:after="0"/>
            </w:pPr>
            <w:r>
              <w:rPr>
                <w:b/>
                <w:color w:val="FFFFFF"/>
                <w:sz w:val="16"/>
              </w:rPr>
            </w:r>
            <w:r>
              <w:rPr>
                <w:b/>
                <w:color w:val="FFFFFF"/>
                <w:sz w:val="16"/>
              </w:rPr>
              <w:t>Lab Type</w:t>
            </w:r>
          </w:p>
        </w:tc>
        <w:tc>
          <w:tcPr>
            <w:tcW w:type="dxa" w:w="2160"/>
            <w:shd w:fill="005A9C"/>
            <w:vAlign w:val="top"/>
            <w:tcMar>
              <w:top w:w="90" w:type="dxa"/>
              <w:start w:w="90" w:type="dxa"/>
              <w:bottom w:w="90" w:type="dxa"/>
              <w:end w:w="90" w:type="dxa"/>
            </w:tcMar>
          </w:tcPr>
          <w:p>
            <w:pPr>
              <w:spacing w:after="0"/>
            </w:pPr>
            <w:r>
              <w:rPr>
                <w:b/>
                <w:color w:val="FFFFFF"/>
                <w:sz w:val="16"/>
              </w:rPr>
            </w:r>
            <w:r>
              <w:rPr>
                <w:b/>
                <w:color w:val="FFFFFF"/>
                <w:sz w:val="16"/>
              </w:rPr>
              <w:t>Exposure</w:t>
            </w:r>
          </w:p>
        </w:tc>
        <w:tc>
          <w:tcPr>
            <w:tcW w:type="dxa" w:w="5616"/>
            <w:shd w:fill="005A9C"/>
            <w:vAlign w:val="top"/>
            <w:tcMar>
              <w:top w:w="90" w:type="dxa"/>
              <w:start w:w="90" w:type="dxa"/>
              <w:bottom w:w="90" w:type="dxa"/>
              <w:end w:w="90" w:type="dxa"/>
            </w:tcMar>
          </w:tcPr>
          <w:p>
            <w:pPr>
              <w:spacing w:after="0"/>
            </w:pPr>
            <w:r>
              <w:rPr>
                <w:b/>
                <w:color w:val="FFFFFF"/>
                <w:sz w:val="16"/>
              </w:rPr>
            </w:r>
            <w:r>
              <w:rPr>
                <w:b/>
                <w:color w:val="FFFFFF"/>
                <w:sz w:val="16"/>
              </w:rPr>
              <w:t>Main Cost Drivers</w:t>
            </w:r>
          </w:p>
        </w:tc>
      </w:tr>
      <w:tr>
        <w:trPr>
          <w:trHeight w:hRule="atLeast"/>
        </w:trPr>
        <w:tc>
          <w:tcPr>
            <w:tcW w:type="dxa" w:w="2880"/>
            <w:vAlign w:val="top"/>
            <w:tcMar>
              <w:top w:w="90" w:type="dxa"/>
              <w:start w:w="90" w:type="dxa"/>
              <w:bottom w:w="90" w:type="dxa"/>
              <w:end w:w="90" w:type="dxa"/>
            </w:tcMar>
          </w:tcPr>
          <w:p>
            <w:pPr>
              <w:spacing w:after="0"/>
            </w:pPr>
            <w:r>
              <w:rPr>
                <w:b/>
                <w:color w:val="122A44"/>
                <w:sz w:val="16"/>
              </w:rPr>
            </w:r>
            <w:r>
              <w:rPr>
                <w:b/>
                <w:color w:val="122A44"/>
                <w:sz w:val="16"/>
              </w:rPr>
              <w:t>Read-only posture review</w:t>
            </w:r>
          </w:p>
        </w:tc>
        <w:tc>
          <w:tcPr>
            <w:tcW w:type="dxa" w:w="2160"/>
            <w:vAlign w:val="top"/>
            <w:tcMar>
              <w:top w:w="90" w:type="dxa"/>
              <w:start w:w="90" w:type="dxa"/>
              <w:bottom w:w="90" w:type="dxa"/>
              <w:end w:w="90" w:type="dxa"/>
            </w:tcMar>
          </w:tcPr>
          <w:p>
            <w:pPr>
              <w:spacing w:after="0"/>
            </w:pPr>
            <w:r>
              <w:rPr>
                <w:sz w:val="16"/>
              </w:rPr>
            </w:r>
            <w:r>
              <w:rPr>
                <w:b w:val="0"/>
                <w:sz w:val="16"/>
              </w:rPr>
              <w:t>Low</w:t>
            </w:r>
          </w:p>
        </w:tc>
        <w:tc>
          <w:tcPr>
            <w:tcW w:type="dxa" w:w="5616"/>
            <w:vAlign w:val="top"/>
            <w:tcMar>
              <w:top w:w="90" w:type="dxa"/>
              <w:start w:w="90" w:type="dxa"/>
              <w:bottom w:w="90" w:type="dxa"/>
              <w:end w:w="90" w:type="dxa"/>
            </w:tcMar>
          </w:tcPr>
          <w:p>
            <w:pPr>
              <w:spacing w:after="0"/>
            </w:pPr>
            <w:r>
              <w:rPr>
                <w:sz w:val="16"/>
              </w:rPr>
            </w:r>
            <w:r>
              <w:rPr>
                <w:b w:val="0"/>
                <w:sz w:val="16"/>
              </w:rPr>
              <w:t>Existing environment visibility only; no new compute if used strictly read-only.</w:t>
            </w:r>
          </w:p>
        </w:tc>
      </w:tr>
      <w:tr>
        <w:trPr>
          <w:trHeight w:hRule="atLeast"/>
        </w:trPr>
        <w:tc>
          <w:tcPr>
            <w:tcW w:type="dxa" w:w="2880"/>
            <w:vAlign w:val="top"/>
            <w:tcMar>
              <w:top w:w="90" w:type="dxa"/>
              <w:start w:w="90" w:type="dxa"/>
              <w:bottom w:w="90" w:type="dxa"/>
              <w:end w:w="90" w:type="dxa"/>
            </w:tcMar>
            <w:shd w:fill="FAFCFE"/>
          </w:tcPr>
          <w:p>
            <w:pPr>
              <w:spacing w:after="0"/>
            </w:pPr>
            <w:r>
              <w:rPr>
                <w:b/>
                <w:color w:val="122A44"/>
                <w:sz w:val="16"/>
              </w:rPr>
            </w:r>
            <w:r>
              <w:rPr>
                <w:b/>
                <w:color w:val="122A44"/>
                <w:sz w:val="16"/>
              </w:rPr>
              <w:t>Foundational CSPM review</w:t>
            </w:r>
          </w:p>
        </w:tc>
        <w:tc>
          <w:tcPr>
            <w:tcW w:type="dxa" w:w="2160"/>
            <w:vAlign w:val="top"/>
            <w:tcMar>
              <w:top w:w="90" w:type="dxa"/>
              <w:start w:w="90" w:type="dxa"/>
              <w:bottom w:w="90" w:type="dxa"/>
              <w:end w:w="90" w:type="dxa"/>
            </w:tcMar>
            <w:shd w:fill="FAFCFE"/>
          </w:tcPr>
          <w:p>
            <w:pPr>
              <w:spacing w:after="0"/>
            </w:pPr>
            <w:r>
              <w:rPr>
                <w:sz w:val="16"/>
              </w:rPr>
            </w:r>
            <w:r>
              <w:rPr>
                <w:b w:val="0"/>
                <w:sz w:val="16"/>
              </w:rPr>
              <w:t>Low to medium</w:t>
            </w:r>
          </w:p>
        </w:tc>
        <w:tc>
          <w:tcPr>
            <w:tcW w:type="dxa" w:w="5616"/>
            <w:vAlign w:val="top"/>
            <w:tcMar>
              <w:top w:w="90" w:type="dxa"/>
              <w:start w:w="90" w:type="dxa"/>
              <w:bottom w:w="90" w:type="dxa"/>
              <w:end w:w="90" w:type="dxa"/>
            </w:tcMar>
            <w:shd w:fill="FAFCFE"/>
          </w:tcPr>
          <w:p>
            <w:pPr>
              <w:spacing w:after="0"/>
            </w:pPr>
            <w:r>
              <w:rPr>
                <w:sz w:val="16"/>
              </w:rPr>
            </w:r>
            <w:r>
              <w:rPr>
                <w:b w:val="0"/>
                <w:sz w:val="16"/>
              </w:rPr>
              <w:t>Defender plan state, recommendations, inventory, workbooks, compliance dashboards.</w:t>
            </w:r>
          </w:p>
        </w:tc>
      </w:tr>
      <w:tr>
        <w:trPr>
          <w:trHeight w:hRule="atLeast"/>
        </w:trPr>
        <w:tc>
          <w:tcPr>
            <w:tcW w:type="dxa" w:w="2880"/>
            <w:vAlign w:val="top"/>
            <w:tcMar>
              <w:top w:w="90" w:type="dxa"/>
              <w:start w:w="90" w:type="dxa"/>
              <w:bottom w:w="90" w:type="dxa"/>
              <w:end w:w="90" w:type="dxa"/>
            </w:tcMar>
          </w:tcPr>
          <w:p>
            <w:pPr>
              <w:spacing w:after="0"/>
            </w:pPr>
            <w:r>
              <w:rPr>
                <w:b/>
                <w:color w:val="122A44"/>
                <w:sz w:val="16"/>
              </w:rPr>
            </w:r>
            <w:r>
              <w:rPr>
                <w:b/>
                <w:color w:val="122A44"/>
                <w:sz w:val="16"/>
              </w:rPr>
              <w:t>Storage lab</w:t>
            </w:r>
          </w:p>
        </w:tc>
        <w:tc>
          <w:tcPr>
            <w:tcW w:type="dxa" w:w="2160"/>
            <w:vAlign w:val="top"/>
            <w:tcMar>
              <w:top w:w="90" w:type="dxa"/>
              <w:start w:w="90" w:type="dxa"/>
              <w:bottom w:w="90" w:type="dxa"/>
              <w:end w:w="90" w:type="dxa"/>
            </w:tcMar>
          </w:tcPr>
          <w:p>
            <w:pPr>
              <w:spacing w:after="0"/>
            </w:pPr>
            <w:r>
              <w:rPr>
                <w:sz w:val="16"/>
              </w:rPr>
            </w:r>
            <w:r>
              <w:rPr>
                <w:b w:val="0"/>
                <w:sz w:val="16"/>
              </w:rPr>
              <w:t>Low to medium</w:t>
            </w:r>
          </w:p>
        </w:tc>
        <w:tc>
          <w:tcPr>
            <w:tcW w:type="dxa" w:w="5616"/>
            <w:vAlign w:val="top"/>
            <w:tcMar>
              <w:top w:w="90" w:type="dxa"/>
              <w:start w:w="90" w:type="dxa"/>
              <w:bottom w:w="90" w:type="dxa"/>
              <w:end w:w="90" w:type="dxa"/>
            </w:tcMar>
          </w:tcPr>
          <w:p>
            <w:pPr>
              <w:spacing w:after="0"/>
            </w:pPr>
            <w:r>
              <w:rPr>
                <w:sz w:val="16"/>
              </w:rPr>
            </w:r>
            <w:r>
              <w:rPr>
                <w:b w:val="0"/>
                <w:sz w:val="16"/>
              </w:rPr>
              <w:t>Storage account, transactions, uploaded test data, malware scanning if enabled.</w:t>
            </w:r>
          </w:p>
        </w:tc>
      </w:tr>
      <w:tr>
        <w:trPr>
          <w:trHeight w:hRule="atLeast"/>
        </w:trPr>
        <w:tc>
          <w:tcPr>
            <w:tcW w:type="dxa" w:w="2880"/>
            <w:vAlign w:val="top"/>
            <w:tcMar>
              <w:top w:w="90" w:type="dxa"/>
              <w:start w:w="90" w:type="dxa"/>
              <w:bottom w:w="90" w:type="dxa"/>
              <w:end w:w="90" w:type="dxa"/>
            </w:tcMar>
            <w:shd w:fill="FAFCFE"/>
          </w:tcPr>
          <w:p>
            <w:pPr>
              <w:spacing w:after="0"/>
            </w:pPr>
            <w:r>
              <w:rPr>
                <w:b/>
                <w:color w:val="122A44"/>
                <w:sz w:val="16"/>
              </w:rPr>
            </w:r>
            <w:r>
              <w:rPr>
                <w:b/>
                <w:color w:val="122A44"/>
                <w:sz w:val="16"/>
              </w:rPr>
              <w:t>App Service lab</w:t>
            </w:r>
          </w:p>
        </w:tc>
        <w:tc>
          <w:tcPr>
            <w:tcW w:type="dxa" w:w="2160"/>
            <w:vAlign w:val="top"/>
            <w:tcMar>
              <w:top w:w="90" w:type="dxa"/>
              <w:start w:w="90" w:type="dxa"/>
              <w:bottom w:w="90" w:type="dxa"/>
              <w:end w:w="90" w:type="dxa"/>
            </w:tcMar>
            <w:shd w:fill="FAFCFE"/>
          </w:tcPr>
          <w:p>
            <w:pPr>
              <w:spacing w:after="0"/>
            </w:pPr>
            <w:r>
              <w:rPr>
                <w:sz w:val="16"/>
              </w:rPr>
            </w:r>
            <w:r>
              <w:rPr>
                <w:b w:val="0"/>
                <w:sz w:val="16"/>
              </w:rPr>
              <w:t>Low to medium</w:t>
            </w:r>
          </w:p>
        </w:tc>
        <w:tc>
          <w:tcPr>
            <w:tcW w:type="dxa" w:w="5616"/>
            <w:vAlign w:val="top"/>
            <w:tcMar>
              <w:top w:w="90" w:type="dxa"/>
              <w:start w:w="90" w:type="dxa"/>
              <w:bottom w:w="90" w:type="dxa"/>
              <w:end w:w="90" w:type="dxa"/>
            </w:tcMar>
            <w:shd w:fill="FAFCFE"/>
          </w:tcPr>
          <w:p>
            <w:pPr>
              <w:spacing w:after="0"/>
            </w:pPr>
            <w:r>
              <w:rPr>
                <w:sz w:val="16"/>
              </w:rPr>
            </w:r>
            <w:r>
              <w:rPr>
                <w:b w:val="0"/>
                <w:sz w:val="16"/>
              </w:rPr>
              <w:t>App Service Plan SKU, diagnostics/logging, app runtime duration.</w:t>
            </w:r>
          </w:p>
        </w:tc>
      </w:tr>
      <w:tr>
        <w:trPr>
          <w:trHeight w:hRule="atLeast"/>
        </w:trPr>
        <w:tc>
          <w:tcPr>
            <w:tcW w:type="dxa" w:w="2880"/>
            <w:vAlign w:val="top"/>
            <w:tcMar>
              <w:top w:w="90" w:type="dxa"/>
              <w:start w:w="90" w:type="dxa"/>
              <w:bottom w:w="90" w:type="dxa"/>
              <w:end w:w="90" w:type="dxa"/>
            </w:tcMar>
          </w:tcPr>
          <w:p>
            <w:pPr>
              <w:spacing w:after="0"/>
            </w:pPr>
            <w:r>
              <w:rPr>
                <w:b/>
                <w:color w:val="122A44"/>
                <w:sz w:val="16"/>
              </w:rPr>
            </w:r>
            <w:r>
              <w:rPr>
                <w:b/>
                <w:color w:val="122A44"/>
                <w:sz w:val="16"/>
              </w:rPr>
              <w:t>Containers / AKS lab</w:t>
            </w:r>
          </w:p>
        </w:tc>
        <w:tc>
          <w:tcPr>
            <w:tcW w:type="dxa" w:w="2160"/>
            <w:vAlign w:val="top"/>
            <w:tcMar>
              <w:top w:w="90" w:type="dxa"/>
              <w:start w:w="90" w:type="dxa"/>
              <w:bottom w:w="90" w:type="dxa"/>
              <w:end w:w="90" w:type="dxa"/>
            </w:tcMar>
          </w:tcPr>
          <w:p>
            <w:pPr>
              <w:spacing w:after="0"/>
            </w:pPr>
            <w:r>
              <w:rPr>
                <w:sz w:val="16"/>
              </w:rPr>
            </w:r>
            <w:r>
              <w:rPr>
                <w:b w:val="0"/>
                <w:sz w:val="16"/>
              </w:rPr>
              <w:t>Medium to high</w:t>
            </w:r>
          </w:p>
        </w:tc>
        <w:tc>
          <w:tcPr>
            <w:tcW w:type="dxa" w:w="5616"/>
            <w:vAlign w:val="top"/>
            <w:tcMar>
              <w:top w:w="90" w:type="dxa"/>
              <w:start w:w="90" w:type="dxa"/>
              <w:bottom w:w="90" w:type="dxa"/>
              <w:end w:w="90" w:type="dxa"/>
            </w:tcMar>
          </w:tcPr>
          <w:p>
            <w:pPr>
              <w:spacing w:after="0"/>
            </w:pPr>
            <w:r>
              <w:rPr>
                <w:sz w:val="16"/>
              </w:rPr>
            </w:r>
            <w:r>
              <w:rPr>
                <w:b w:val="0"/>
                <w:sz w:val="16"/>
              </w:rPr>
              <w:t>AKS nodes, container registry, monitoring, Defender for Containers, idle cluster time.</w:t>
            </w:r>
          </w:p>
        </w:tc>
      </w:tr>
      <w:tr>
        <w:trPr>
          <w:trHeight w:hRule="atLeast"/>
        </w:trPr>
        <w:tc>
          <w:tcPr>
            <w:tcW w:type="dxa" w:w="2880"/>
            <w:vAlign w:val="top"/>
            <w:tcMar>
              <w:top w:w="90" w:type="dxa"/>
              <w:start w:w="90" w:type="dxa"/>
              <w:bottom w:w="90" w:type="dxa"/>
              <w:end w:w="90" w:type="dxa"/>
            </w:tcMar>
            <w:shd w:fill="FAFCFE"/>
          </w:tcPr>
          <w:p>
            <w:pPr>
              <w:spacing w:after="0"/>
            </w:pPr>
            <w:r>
              <w:rPr>
                <w:b/>
                <w:color w:val="122A44"/>
                <w:sz w:val="16"/>
              </w:rPr>
            </w:r>
            <w:r>
              <w:rPr>
                <w:b/>
                <w:color w:val="122A44"/>
                <w:sz w:val="16"/>
              </w:rPr>
              <w:t>AI / Foundry lab</w:t>
            </w:r>
          </w:p>
        </w:tc>
        <w:tc>
          <w:tcPr>
            <w:tcW w:type="dxa" w:w="2160"/>
            <w:vAlign w:val="top"/>
            <w:tcMar>
              <w:top w:w="90" w:type="dxa"/>
              <w:start w:w="90" w:type="dxa"/>
              <w:bottom w:w="90" w:type="dxa"/>
              <w:end w:w="90" w:type="dxa"/>
            </w:tcMar>
            <w:shd w:fill="FAFCFE"/>
          </w:tcPr>
          <w:p>
            <w:pPr>
              <w:spacing w:after="0"/>
            </w:pPr>
            <w:r>
              <w:rPr>
                <w:sz w:val="16"/>
              </w:rPr>
            </w:r>
            <w:r>
              <w:rPr>
                <w:b w:val="0"/>
                <w:sz w:val="16"/>
              </w:rPr>
              <w:t>Medium to high</w:t>
            </w:r>
          </w:p>
        </w:tc>
        <w:tc>
          <w:tcPr>
            <w:tcW w:type="dxa" w:w="5616"/>
            <w:vAlign w:val="top"/>
            <w:tcMar>
              <w:top w:w="90" w:type="dxa"/>
              <w:start w:w="90" w:type="dxa"/>
              <w:bottom w:w="90" w:type="dxa"/>
              <w:end w:w="90" w:type="dxa"/>
            </w:tcMar>
            <w:shd w:fill="FAFCFE"/>
          </w:tcPr>
          <w:p>
            <w:pPr>
              <w:spacing w:after="0"/>
            </w:pPr>
            <w:r>
              <w:rPr>
                <w:sz w:val="16"/>
              </w:rPr>
            </w:r>
            <w:r>
              <w:rPr>
                <w:b w:val="0"/>
                <w:sz w:val="16"/>
              </w:rPr>
              <w:t>AI service deployment, token/model usage, endpoint runtime, logs, Defender AI protection, Purview if used.</w:t>
            </w:r>
          </w:p>
        </w:tc>
      </w:tr>
      <w:tr>
        <w:trPr>
          <w:trHeight w:hRule="atLeast"/>
        </w:trPr>
        <w:tc>
          <w:tcPr>
            <w:tcW w:type="dxa" w:w="2880"/>
            <w:vAlign w:val="top"/>
            <w:tcMar>
              <w:top w:w="90" w:type="dxa"/>
              <w:start w:w="90" w:type="dxa"/>
              <w:bottom w:w="90" w:type="dxa"/>
              <w:end w:w="90" w:type="dxa"/>
            </w:tcMar>
          </w:tcPr>
          <w:p>
            <w:pPr>
              <w:spacing w:after="0"/>
            </w:pPr>
            <w:r>
              <w:rPr>
                <w:b/>
                <w:color w:val="122A44"/>
                <w:sz w:val="16"/>
              </w:rPr>
            </w:r>
            <w:r>
              <w:rPr>
                <w:b/>
                <w:color w:val="122A44"/>
                <w:sz w:val="16"/>
              </w:rPr>
              <w:t>Live customer subscription activation</w:t>
            </w:r>
          </w:p>
        </w:tc>
        <w:tc>
          <w:tcPr>
            <w:tcW w:type="dxa" w:w="2160"/>
            <w:vAlign w:val="top"/>
            <w:tcMar>
              <w:top w:w="90" w:type="dxa"/>
              <w:start w:w="90" w:type="dxa"/>
              <w:bottom w:w="90" w:type="dxa"/>
              <w:end w:w="90" w:type="dxa"/>
            </w:tcMar>
          </w:tcPr>
          <w:p>
            <w:pPr>
              <w:spacing w:after="0"/>
            </w:pPr>
            <w:r>
              <w:rPr>
                <w:sz w:val="16"/>
              </w:rPr>
            </w:r>
            <w:r>
              <w:rPr>
                <w:b w:val="0"/>
                <w:sz w:val="16"/>
              </w:rPr>
              <w:t>Variable / governance-sensitive</w:t>
            </w:r>
          </w:p>
        </w:tc>
        <w:tc>
          <w:tcPr>
            <w:tcW w:type="dxa" w:w="5616"/>
            <w:vAlign w:val="top"/>
            <w:tcMar>
              <w:top w:w="90" w:type="dxa"/>
              <w:start w:w="90" w:type="dxa"/>
              <w:bottom w:w="90" w:type="dxa"/>
              <w:end w:w="90" w:type="dxa"/>
            </w:tcMar>
          </w:tcPr>
          <w:p>
            <w:pPr>
              <w:spacing w:after="0"/>
            </w:pPr>
            <w:r>
              <w:rPr>
                <w:sz w:val="16"/>
              </w:rPr>
            </w:r>
            <w:r>
              <w:rPr>
                <w:b w:val="0"/>
                <w:sz w:val="16"/>
              </w:rPr>
              <w:t>Broad plan enablement, production workload count, agent/extensions, storage scanning, existing estate scale.</w:t>
            </w:r>
          </w:p>
        </w:tc>
      </w:tr>
    </w:tbl>
    <w:p/>
    <w:p>
      <w:pPr>
        <w:pStyle w:val="Heading2"/>
        <w:keepNext/>
      </w:pPr>
      <w:r>
        <w:rPr>
          <w:rFonts w:ascii="Aptos" w:hAnsi="Aptos" w:eastAsia="Aptos"/>
        </w:rPr>
        <w:t>5.1 Cost control requirements</w:t>
      </w:r>
    </w:p>
    <w:p>
      <w:pPr>
        <w:pStyle w:val="ListBullet"/>
        <w:spacing w:after="60"/>
      </w:pPr>
      <w:r>
        <w:rPr>
          <w:rFonts w:ascii="Aptos" w:hAnsi="Aptos" w:eastAsia="Aptos"/>
        </w:rPr>
        <w:t>Create a dedicated lab budget before class.</w:t>
      </w:r>
    </w:p>
    <w:p>
      <w:pPr>
        <w:pStyle w:val="ListBullet"/>
        <w:spacing w:after="60"/>
      </w:pPr>
      <w:r>
        <w:rPr>
          <w:rFonts w:ascii="Aptos" w:hAnsi="Aptos" w:eastAsia="Aptos"/>
        </w:rPr>
        <w:t>Configure Azure Cost Management budget alerts.</w:t>
      </w:r>
    </w:p>
    <w:p>
      <w:pPr>
        <w:pStyle w:val="ListBullet"/>
        <w:spacing w:after="60"/>
      </w:pPr>
      <w:r>
        <w:rPr>
          <w:rFonts w:ascii="Aptos" w:hAnsi="Aptos" w:eastAsia="Aptos"/>
        </w:rPr>
        <w:t>Scope Defender plan enablement to the lab subscription or target resource scope where possible.</w:t>
      </w:r>
    </w:p>
    <w:p>
      <w:pPr>
        <w:pStyle w:val="ListBullet"/>
        <w:spacing w:after="60"/>
      </w:pPr>
      <w:r>
        <w:rPr>
          <w:rFonts w:ascii="Aptos" w:hAnsi="Aptos" w:eastAsia="Aptos"/>
        </w:rPr>
        <w:t>Avoid enabling Defender plans across a production management group unless explicitly approved.</w:t>
      </w:r>
    </w:p>
    <w:p>
      <w:pPr>
        <w:pStyle w:val="ListBullet"/>
        <w:spacing w:after="60"/>
      </w:pPr>
      <w:r>
        <w:rPr>
          <w:rFonts w:ascii="Aptos" w:hAnsi="Aptos" w:eastAsia="Aptos"/>
        </w:rPr>
        <w:t>Delete, stop, or scale down lab resources after class.</w:t>
      </w:r>
    </w:p>
    <w:p>
      <w:pPr>
        <w:pStyle w:val="ListBullet"/>
        <w:spacing w:after="60"/>
      </w:pPr>
      <w:r>
        <w:rPr>
          <w:rFonts w:ascii="Aptos" w:hAnsi="Aptos" w:eastAsia="Aptos"/>
        </w:rPr>
        <w:t>Disable paid plans after labs unless the customer confirms they want to retain them.</w:t>
      </w:r>
    </w:p>
    <w:p>
      <w:pPr>
        <w:pStyle w:val="ListBullet"/>
        <w:spacing w:after="60"/>
      </w:pPr>
      <w:r>
        <w:rPr>
          <w:rFonts w:ascii="Aptos" w:hAnsi="Aptos" w:eastAsia="Aptos"/>
        </w:rPr>
        <w:t>Review actual spend after course completion.</w:t>
      </w:r>
    </w:p>
    <w:p>
      <w:pPr>
        <w:spacing w:before="120" w:after="160"/>
        <w:ind w:left="144" w:right="144"/>
        <w:shd w:fill="FFF4E5"/>
      </w:pPr>
      <w:r>
        <w:rPr>
          <w:rFonts w:ascii="Aptos" w:hAnsi="Aptos" w:eastAsia="Aptos"/>
          <w:b/>
          <w:color w:val="122A44"/>
          <w:sz w:val="20"/>
        </w:rPr>
        <w:t>Cost warning: Defender for Cloud paid plans and workload-specific security capabilities can generate cost. Defender for Storage malware scanning is charged from the first day and is not included in the Defender for Cloud 30-day trial according to Microsoft documentation.</w:t>
      </w:r>
    </w:p>
    <w:p>
      <w:r>
        <w:rPr>
          <w:rFonts w:ascii="Aptos" w:hAnsi="Aptos" w:eastAsia="Aptos"/>
        </w:rPr>
        <w:br w:type="page"/>
      </w:r>
    </w:p>
    <w:p>
      <w:pPr>
        <w:pStyle w:val="Heading1"/>
        <w:keepNext/>
      </w:pPr>
      <w:r>
        <w:rPr>
          <w:rFonts w:ascii="Aptos" w:hAnsi="Aptos" w:eastAsia="Aptos"/>
        </w:rPr>
        <w:t>6. Safety Warnings for Live Environments</w:t>
      </w:r>
    </w:p>
    <w:p>
      <w:r>
        <w:rPr>
          <w:rFonts w:ascii="Aptos" w:hAnsi="Aptos" w:eastAsia="Aptos"/>
          <w:b/>
        </w:rPr>
        <w:t xml:space="preserve">Live environment caution. </w:t>
      </w:r>
      <w:r>
        <w:rPr>
          <w:rFonts w:ascii="Aptos" w:hAnsi="Aptos" w:eastAsia="Aptos"/>
        </w:rPr>
        <w:t>The course includes live-environment review scenarios. Live subscriptions must therefore be treated as production change-control environments, not as unrestricted student labs.</w:t>
      </w:r>
    </w:p>
    <w:tbl>
      <w:tblPr>
        <w:tblStyle w:val="TableGrid"/>
        <w:tblW w:type="auto" w:w="0"/>
        <w:jc w:val="center"/>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12"/>
        <w:gridCol w:w="5112"/>
      </w:tblGrid>
      <w:tr>
        <w:trPr>
          <w:trHeight w:hRule="atLeast"/>
          <w:tblHeader w:val="true"/>
        </w:trPr>
        <w:tc>
          <w:tcPr>
            <w:tcW w:type="dxa" w:w="3024"/>
            <w:shd w:fill="122A44"/>
            <w:vAlign w:val="top"/>
            <w:tcMar>
              <w:top w:w="90" w:type="dxa"/>
              <w:start w:w="90" w:type="dxa"/>
              <w:bottom w:w="90" w:type="dxa"/>
              <w:end w:w="90" w:type="dxa"/>
            </w:tcMar>
          </w:tcPr>
          <w:p>
            <w:pPr>
              <w:spacing w:after="0"/>
            </w:pPr>
            <w:r>
              <w:rPr>
                <w:b/>
                <w:color w:val="FFFFFF"/>
                <w:sz w:val="16"/>
              </w:rPr>
            </w:r>
            <w:r>
              <w:rPr>
                <w:b/>
                <w:color w:val="FFFFFF"/>
                <w:sz w:val="16"/>
              </w:rPr>
              <w:t>Control</w:t>
            </w:r>
          </w:p>
        </w:tc>
        <w:tc>
          <w:tcPr>
            <w:tcW w:type="dxa" w:w="7632"/>
            <w:shd w:fill="122A44"/>
            <w:vAlign w:val="top"/>
            <w:tcMar>
              <w:top w:w="90" w:type="dxa"/>
              <w:start w:w="90" w:type="dxa"/>
              <w:bottom w:w="90" w:type="dxa"/>
              <w:end w:w="90" w:type="dxa"/>
            </w:tcMar>
          </w:tcPr>
          <w:p>
            <w:pPr>
              <w:spacing w:after="0"/>
            </w:pPr>
            <w:r>
              <w:rPr>
                <w:b/>
                <w:color w:val="FFFFFF"/>
                <w:sz w:val="16"/>
              </w:rPr>
            </w:r>
            <w:r>
              <w:rPr>
                <w:b/>
                <w:color w:val="FFFFFF"/>
                <w:sz w:val="16"/>
              </w:rPr>
              <w:t>Requirement</w:t>
            </w:r>
          </w:p>
        </w:tc>
      </w:tr>
      <w:tr>
        <w:trPr>
          <w:trHeight w:hRule="atLeast"/>
        </w:trPr>
        <w:tc>
          <w:tcPr>
            <w:tcW w:type="dxa" w:w="3024"/>
            <w:vAlign w:val="top"/>
            <w:tcMar>
              <w:top w:w="90" w:type="dxa"/>
              <w:start w:w="90" w:type="dxa"/>
              <w:bottom w:w="90" w:type="dxa"/>
              <w:end w:w="90" w:type="dxa"/>
            </w:tcMar>
          </w:tcPr>
          <w:p>
            <w:pPr>
              <w:spacing w:after="0"/>
            </w:pPr>
            <w:r>
              <w:rPr>
                <w:b/>
                <w:color w:val="122A44"/>
                <w:sz w:val="16"/>
              </w:rPr>
            </w:r>
            <w:r>
              <w:rPr>
                <w:b/>
                <w:color w:val="122A44"/>
                <w:sz w:val="16"/>
              </w:rPr>
              <w:t>Written approval</w:t>
            </w:r>
          </w:p>
        </w:tc>
        <w:tc>
          <w:tcPr>
            <w:tcW w:type="dxa" w:w="7632"/>
            <w:vAlign w:val="top"/>
            <w:tcMar>
              <w:top w:w="90" w:type="dxa"/>
              <w:start w:w="90" w:type="dxa"/>
              <w:bottom w:w="90" w:type="dxa"/>
              <w:end w:w="90" w:type="dxa"/>
            </w:tcMar>
          </w:tcPr>
          <w:p>
            <w:pPr>
              <w:spacing w:after="0"/>
            </w:pPr>
            <w:r>
              <w:rPr>
                <w:sz w:val="16"/>
              </w:rPr>
            </w:r>
            <w:r>
              <w:rPr>
                <w:b w:val="0"/>
                <w:sz w:val="16"/>
              </w:rPr>
              <w:t>Required before enabling Defender plans, changing policies, or deploying extensions.</w:t>
            </w:r>
          </w:p>
        </w:tc>
      </w:tr>
      <w:tr>
        <w:trPr>
          <w:trHeight w:hRule="atLeast"/>
        </w:trPr>
        <w:tc>
          <w:tcPr>
            <w:tcW w:type="dxa" w:w="3024"/>
            <w:vAlign w:val="top"/>
            <w:tcMar>
              <w:top w:w="90" w:type="dxa"/>
              <w:start w:w="90" w:type="dxa"/>
              <w:bottom w:w="90" w:type="dxa"/>
              <w:end w:w="90" w:type="dxa"/>
            </w:tcMar>
            <w:shd w:fill="FAFCFE"/>
          </w:tcPr>
          <w:p>
            <w:pPr>
              <w:spacing w:after="0"/>
            </w:pPr>
            <w:r>
              <w:rPr>
                <w:b/>
                <w:color w:val="122A44"/>
                <w:sz w:val="16"/>
              </w:rPr>
            </w:r>
            <w:r>
              <w:rPr>
                <w:b/>
                <w:color w:val="122A44"/>
                <w:sz w:val="16"/>
              </w:rPr>
              <w:t>Named subscription scope</w:t>
            </w:r>
          </w:p>
        </w:tc>
        <w:tc>
          <w:tcPr>
            <w:tcW w:type="dxa" w:w="7632"/>
            <w:vAlign w:val="top"/>
            <w:tcMar>
              <w:top w:w="90" w:type="dxa"/>
              <w:start w:w="90" w:type="dxa"/>
              <w:bottom w:w="90" w:type="dxa"/>
              <w:end w:w="90" w:type="dxa"/>
            </w:tcMar>
            <w:shd w:fill="FAFCFE"/>
          </w:tcPr>
          <w:p>
            <w:pPr>
              <w:spacing w:after="0"/>
            </w:pPr>
            <w:r>
              <w:rPr>
                <w:sz w:val="16"/>
              </w:rPr>
            </w:r>
            <w:r>
              <w:rPr>
                <w:b w:val="0"/>
                <w:sz w:val="16"/>
              </w:rPr>
              <w:t>Confirm exact subscription(s), management group(s), and resource groups in scope.</w:t>
            </w:r>
          </w:p>
        </w:tc>
      </w:tr>
      <w:tr>
        <w:trPr>
          <w:trHeight w:hRule="atLeast"/>
        </w:trPr>
        <w:tc>
          <w:tcPr>
            <w:tcW w:type="dxa" w:w="3024"/>
            <w:vAlign w:val="top"/>
            <w:tcMar>
              <w:top w:w="90" w:type="dxa"/>
              <w:start w:w="90" w:type="dxa"/>
              <w:bottom w:w="90" w:type="dxa"/>
              <w:end w:w="90" w:type="dxa"/>
            </w:tcMar>
          </w:tcPr>
          <w:p>
            <w:pPr>
              <w:spacing w:after="0"/>
            </w:pPr>
            <w:r>
              <w:rPr>
                <w:b/>
                <w:color w:val="122A44"/>
                <w:sz w:val="16"/>
              </w:rPr>
            </w:r>
            <w:r>
              <w:rPr>
                <w:b/>
                <w:color w:val="122A44"/>
                <w:sz w:val="16"/>
              </w:rPr>
              <w:t>No unsanctioned production changes</w:t>
            </w:r>
          </w:p>
        </w:tc>
        <w:tc>
          <w:tcPr>
            <w:tcW w:type="dxa" w:w="7632"/>
            <w:vAlign w:val="top"/>
            <w:tcMar>
              <w:top w:w="90" w:type="dxa"/>
              <w:start w:w="90" w:type="dxa"/>
              <w:bottom w:w="90" w:type="dxa"/>
              <w:end w:w="90" w:type="dxa"/>
            </w:tcMar>
          </w:tcPr>
          <w:p>
            <w:pPr>
              <w:spacing w:after="0"/>
            </w:pPr>
            <w:r>
              <w:rPr>
                <w:sz w:val="16"/>
              </w:rPr>
            </w:r>
            <w:r>
              <w:rPr>
                <w:b w:val="0"/>
                <w:sz w:val="16"/>
              </w:rPr>
              <w:t>Do not modify production resources unless explicitly approved.</w:t>
            </w:r>
          </w:p>
        </w:tc>
      </w:tr>
      <w:tr>
        <w:trPr>
          <w:trHeight w:hRule="atLeast"/>
        </w:trPr>
        <w:tc>
          <w:tcPr>
            <w:tcW w:type="dxa" w:w="3024"/>
            <w:vAlign w:val="top"/>
            <w:tcMar>
              <w:top w:w="90" w:type="dxa"/>
              <w:start w:w="90" w:type="dxa"/>
              <w:bottom w:w="90" w:type="dxa"/>
              <w:end w:w="90" w:type="dxa"/>
            </w:tcMar>
            <w:shd w:fill="FAFCFE"/>
          </w:tcPr>
          <w:p>
            <w:pPr>
              <w:spacing w:after="0"/>
            </w:pPr>
            <w:r>
              <w:rPr>
                <w:b/>
                <w:color w:val="122A44"/>
                <w:sz w:val="16"/>
              </w:rPr>
            </w:r>
            <w:r>
              <w:rPr>
                <w:b/>
                <w:color w:val="122A44"/>
                <w:sz w:val="16"/>
              </w:rPr>
              <w:t>Change window</w:t>
            </w:r>
          </w:p>
        </w:tc>
        <w:tc>
          <w:tcPr>
            <w:tcW w:type="dxa" w:w="7632"/>
            <w:vAlign w:val="top"/>
            <w:tcMar>
              <w:top w:w="90" w:type="dxa"/>
              <w:start w:w="90" w:type="dxa"/>
              <w:bottom w:w="90" w:type="dxa"/>
              <w:end w:w="90" w:type="dxa"/>
            </w:tcMar>
            <w:shd w:fill="FAFCFE"/>
          </w:tcPr>
          <w:p>
            <w:pPr>
              <w:spacing w:after="0"/>
            </w:pPr>
            <w:r>
              <w:rPr>
                <w:sz w:val="16"/>
              </w:rPr>
            </w:r>
            <w:r>
              <w:rPr>
                <w:b w:val="0"/>
                <w:sz w:val="16"/>
              </w:rPr>
              <w:t>Required for plan activation, policy changes, agent deployment, or extension deployment.</w:t>
            </w:r>
          </w:p>
        </w:tc>
      </w:tr>
      <w:tr>
        <w:trPr>
          <w:trHeight w:hRule="atLeast"/>
        </w:trPr>
        <w:tc>
          <w:tcPr>
            <w:tcW w:type="dxa" w:w="3024"/>
            <w:vAlign w:val="top"/>
            <w:tcMar>
              <w:top w:w="90" w:type="dxa"/>
              <w:start w:w="90" w:type="dxa"/>
              <w:bottom w:w="90" w:type="dxa"/>
              <w:end w:w="90" w:type="dxa"/>
            </w:tcMar>
          </w:tcPr>
          <w:p>
            <w:pPr>
              <w:spacing w:after="0"/>
            </w:pPr>
            <w:r>
              <w:rPr>
                <w:b/>
                <w:color w:val="122A44"/>
                <w:sz w:val="16"/>
              </w:rPr>
            </w:r>
            <w:r>
              <w:rPr>
                <w:b/>
                <w:color w:val="122A44"/>
                <w:sz w:val="16"/>
              </w:rPr>
              <w:t>Rollback plan</w:t>
            </w:r>
          </w:p>
        </w:tc>
        <w:tc>
          <w:tcPr>
            <w:tcW w:type="dxa" w:w="7632"/>
            <w:vAlign w:val="top"/>
            <w:tcMar>
              <w:top w:w="90" w:type="dxa"/>
              <w:start w:w="90" w:type="dxa"/>
              <w:bottom w:w="90" w:type="dxa"/>
              <w:end w:w="90" w:type="dxa"/>
            </w:tcMar>
          </w:tcPr>
          <w:p>
            <w:pPr>
              <w:spacing w:after="0"/>
            </w:pPr>
            <w:r>
              <w:rPr>
                <w:sz w:val="16"/>
              </w:rPr>
            </w:r>
            <w:r>
              <w:rPr>
                <w:b w:val="0"/>
                <w:sz w:val="16"/>
              </w:rPr>
              <w:t>Define how to disable plans, reverse policy assignments, remove resources, and remove temporary permissions.</w:t>
            </w:r>
          </w:p>
        </w:tc>
      </w:tr>
      <w:tr>
        <w:trPr>
          <w:trHeight w:hRule="atLeast"/>
        </w:trPr>
        <w:tc>
          <w:tcPr>
            <w:tcW w:type="dxa" w:w="3024"/>
            <w:vAlign w:val="top"/>
            <w:tcMar>
              <w:top w:w="90" w:type="dxa"/>
              <w:start w:w="90" w:type="dxa"/>
              <w:bottom w:w="90" w:type="dxa"/>
              <w:end w:w="90" w:type="dxa"/>
            </w:tcMar>
            <w:shd w:fill="FAFCFE"/>
          </w:tcPr>
          <w:p>
            <w:pPr>
              <w:spacing w:after="0"/>
            </w:pPr>
            <w:r>
              <w:rPr>
                <w:b/>
                <w:color w:val="122A44"/>
                <w:sz w:val="16"/>
              </w:rPr>
            </w:r>
            <w:r>
              <w:rPr>
                <w:b/>
                <w:color w:val="122A44"/>
                <w:sz w:val="16"/>
              </w:rPr>
              <w:t>Break-glass access</w:t>
            </w:r>
          </w:p>
        </w:tc>
        <w:tc>
          <w:tcPr>
            <w:tcW w:type="dxa" w:w="7632"/>
            <w:vAlign w:val="top"/>
            <w:tcMar>
              <w:top w:w="90" w:type="dxa"/>
              <w:start w:w="90" w:type="dxa"/>
              <w:bottom w:w="90" w:type="dxa"/>
              <w:end w:w="90" w:type="dxa"/>
            </w:tcMar>
            <w:shd w:fill="FAFCFE"/>
          </w:tcPr>
          <w:p>
            <w:pPr>
              <w:spacing w:after="0"/>
            </w:pPr>
            <w:r>
              <w:rPr>
                <w:sz w:val="16"/>
              </w:rPr>
            </w:r>
            <w:r>
              <w:rPr>
                <w:b w:val="0"/>
                <w:sz w:val="16"/>
              </w:rPr>
              <w:t>Customer or instructor must retain emergency administrative access.</w:t>
            </w:r>
          </w:p>
        </w:tc>
      </w:tr>
      <w:tr>
        <w:trPr>
          <w:trHeight w:hRule="atLeast"/>
        </w:trPr>
        <w:tc>
          <w:tcPr>
            <w:tcW w:type="dxa" w:w="3024"/>
            <w:vAlign w:val="top"/>
            <w:tcMar>
              <w:top w:w="90" w:type="dxa"/>
              <w:start w:w="90" w:type="dxa"/>
              <w:bottom w:w="90" w:type="dxa"/>
              <w:end w:w="90" w:type="dxa"/>
            </w:tcMar>
          </w:tcPr>
          <w:p>
            <w:pPr>
              <w:spacing w:after="0"/>
            </w:pPr>
            <w:r>
              <w:rPr>
                <w:b/>
                <w:color w:val="122A44"/>
                <w:sz w:val="16"/>
              </w:rPr>
            </w:r>
            <w:r>
              <w:rPr>
                <w:b/>
                <w:color w:val="122A44"/>
                <w:sz w:val="16"/>
              </w:rPr>
              <w:t>Auditability</w:t>
            </w:r>
          </w:p>
        </w:tc>
        <w:tc>
          <w:tcPr>
            <w:tcW w:type="dxa" w:w="7632"/>
            <w:vAlign w:val="top"/>
            <w:tcMar>
              <w:top w:w="90" w:type="dxa"/>
              <w:start w:w="90" w:type="dxa"/>
              <w:bottom w:w="90" w:type="dxa"/>
              <w:end w:w="90" w:type="dxa"/>
            </w:tcMar>
          </w:tcPr>
          <w:p>
            <w:pPr>
              <w:spacing w:after="0"/>
            </w:pPr>
            <w:r>
              <w:rPr>
                <w:sz w:val="16"/>
              </w:rPr>
            </w:r>
            <w:r>
              <w:rPr>
                <w:b w:val="0"/>
                <w:sz w:val="16"/>
              </w:rPr>
              <w:t>Use named accounts. Avoid shared admin credentials.</w:t>
            </w:r>
          </w:p>
        </w:tc>
      </w:tr>
      <w:tr>
        <w:trPr>
          <w:trHeight w:hRule="atLeast"/>
        </w:trPr>
        <w:tc>
          <w:tcPr>
            <w:tcW w:type="dxa" w:w="3024"/>
            <w:vAlign w:val="top"/>
            <w:tcMar>
              <w:top w:w="90" w:type="dxa"/>
              <w:start w:w="90" w:type="dxa"/>
              <w:bottom w:w="90" w:type="dxa"/>
              <w:end w:w="90" w:type="dxa"/>
            </w:tcMar>
            <w:shd w:fill="FAFCFE"/>
          </w:tcPr>
          <w:p>
            <w:pPr>
              <w:spacing w:after="0"/>
            </w:pPr>
            <w:r>
              <w:rPr>
                <w:b/>
                <w:color w:val="122A44"/>
                <w:sz w:val="16"/>
              </w:rPr>
            </w:r>
            <w:r>
              <w:rPr>
                <w:b/>
                <w:color w:val="122A44"/>
                <w:sz w:val="16"/>
              </w:rPr>
              <w:t>Data handling</w:t>
            </w:r>
          </w:p>
        </w:tc>
        <w:tc>
          <w:tcPr>
            <w:tcW w:type="dxa" w:w="7632"/>
            <w:vAlign w:val="top"/>
            <w:tcMar>
              <w:top w:w="90" w:type="dxa"/>
              <w:start w:w="90" w:type="dxa"/>
              <w:bottom w:w="90" w:type="dxa"/>
              <w:end w:w="90" w:type="dxa"/>
            </w:tcMar>
            <w:shd w:fill="FAFCFE"/>
          </w:tcPr>
          <w:p>
            <w:pPr>
              <w:spacing w:after="0"/>
            </w:pPr>
            <w:r>
              <w:rPr>
                <w:sz w:val="16"/>
              </w:rPr>
            </w:r>
            <w:r>
              <w:rPr>
                <w:b w:val="0"/>
                <w:sz w:val="16"/>
              </w:rPr>
              <w:t>No confidential, customer, HR, legal, financial, personal, or production data in labs.</w:t>
            </w:r>
          </w:p>
        </w:tc>
      </w:tr>
      <w:tr>
        <w:trPr>
          <w:trHeight w:hRule="atLeast"/>
        </w:trPr>
        <w:tc>
          <w:tcPr>
            <w:tcW w:type="dxa" w:w="3024"/>
            <w:vAlign w:val="top"/>
            <w:tcMar>
              <w:top w:w="90" w:type="dxa"/>
              <w:start w:w="90" w:type="dxa"/>
              <w:bottom w:w="90" w:type="dxa"/>
              <w:end w:w="90" w:type="dxa"/>
            </w:tcMar>
          </w:tcPr>
          <w:p>
            <w:pPr>
              <w:spacing w:after="0"/>
            </w:pPr>
            <w:r>
              <w:rPr>
                <w:b/>
                <w:color w:val="122A44"/>
                <w:sz w:val="16"/>
              </w:rPr>
            </w:r>
            <w:r>
              <w:rPr>
                <w:b/>
                <w:color w:val="122A44"/>
                <w:sz w:val="16"/>
              </w:rPr>
              <w:t>AI prompt safety</w:t>
            </w:r>
          </w:p>
        </w:tc>
        <w:tc>
          <w:tcPr>
            <w:tcW w:type="dxa" w:w="7632"/>
            <w:vAlign w:val="top"/>
            <w:tcMar>
              <w:top w:w="90" w:type="dxa"/>
              <w:start w:w="90" w:type="dxa"/>
              <w:bottom w:w="90" w:type="dxa"/>
              <w:end w:w="90" w:type="dxa"/>
            </w:tcMar>
          </w:tcPr>
          <w:p>
            <w:pPr>
              <w:spacing w:after="0"/>
            </w:pPr>
            <w:r>
              <w:rPr>
                <w:sz w:val="16"/>
              </w:rPr>
            </w:r>
            <w:r>
              <w:rPr>
                <w:b w:val="0"/>
                <w:sz w:val="16"/>
              </w:rPr>
              <w:t>No sensitive prompts, secrets, source code, customer records, or proprietary information in AI labs.</w:t>
            </w:r>
          </w:p>
        </w:tc>
      </w:tr>
      <w:tr>
        <w:trPr>
          <w:trHeight w:hRule="atLeast"/>
        </w:trPr>
        <w:tc>
          <w:tcPr>
            <w:tcW w:type="dxa" w:w="3024"/>
            <w:vAlign w:val="top"/>
            <w:tcMar>
              <w:top w:w="90" w:type="dxa"/>
              <w:start w:w="90" w:type="dxa"/>
              <w:bottom w:w="90" w:type="dxa"/>
              <w:end w:w="90" w:type="dxa"/>
            </w:tcMar>
            <w:shd w:fill="FAFCFE"/>
          </w:tcPr>
          <w:p>
            <w:pPr>
              <w:spacing w:after="0"/>
            </w:pPr>
            <w:r>
              <w:rPr>
                <w:b/>
                <w:color w:val="122A44"/>
                <w:sz w:val="16"/>
              </w:rPr>
            </w:r>
            <w:r>
              <w:rPr>
                <w:b/>
                <w:color w:val="122A44"/>
                <w:sz w:val="16"/>
              </w:rPr>
              <w:t>Cost approval</w:t>
            </w:r>
          </w:p>
        </w:tc>
        <w:tc>
          <w:tcPr>
            <w:tcW w:type="dxa" w:w="7632"/>
            <w:vAlign w:val="top"/>
            <w:tcMar>
              <w:top w:w="90" w:type="dxa"/>
              <w:start w:w="90" w:type="dxa"/>
              <w:bottom w:w="90" w:type="dxa"/>
              <w:end w:w="90" w:type="dxa"/>
            </w:tcMar>
            <w:shd w:fill="FAFCFE"/>
          </w:tcPr>
          <w:p>
            <w:pPr>
              <w:spacing w:after="0"/>
            </w:pPr>
            <w:r>
              <w:rPr>
                <w:sz w:val="16"/>
              </w:rPr>
            </w:r>
            <w:r>
              <w:rPr>
                <w:b w:val="0"/>
                <w:sz w:val="16"/>
              </w:rPr>
              <w:t>Budget owner must approve paid plan activation.</w:t>
            </w:r>
          </w:p>
        </w:tc>
      </w:tr>
      <w:tr>
        <w:trPr>
          <w:trHeight w:hRule="atLeast"/>
        </w:trPr>
        <w:tc>
          <w:tcPr>
            <w:tcW w:type="dxa" w:w="3024"/>
            <w:vAlign w:val="top"/>
            <w:tcMar>
              <w:top w:w="90" w:type="dxa"/>
              <w:start w:w="90" w:type="dxa"/>
              <w:bottom w:w="90" w:type="dxa"/>
              <w:end w:w="90" w:type="dxa"/>
            </w:tcMar>
          </w:tcPr>
          <w:p>
            <w:pPr>
              <w:spacing w:after="0"/>
            </w:pPr>
            <w:r>
              <w:rPr>
                <w:b/>
                <w:color w:val="122A44"/>
                <w:sz w:val="16"/>
              </w:rPr>
            </w:r>
            <w:r>
              <w:rPr>
                <w:b/>
                <w:color w:val="122A44"/>
                <w:sz w:val="16"/>
              </w:rPr>
              <w:t>Cleanup</w:t>
            </w:r>
          </w:p>
        </w:tc>
        <w:tc>
          <w:tcPr>
            <w:tcW w:type="dxa" w:w="7632"/>
            <w:vAlign w:val="top"/>
            <w:tcMar>
              <w:top w:w="90" w:type="dxa"/>
              <w:start w:w="90" w:type="dxa"/>
              <w:bottom w:w="90" w:type="dxa"/>
              <w:end w:w="90" w:type="dxa"/>
            </w:tcMar>
          </w:tcPr>
          <w:p>
            <w:pPr>
              <w:spacing w:after="0"/>
            </w:pPr>
            <w:r>
              <w:rPr>
                <w:sz w:val="16"/>
              </w:rPr>
            </w:r>
            <w:r>
              <w:rPr>
                <w:b w:val="0"/>
                <w:sz w:val="16"/>
              </w:rPr>
              <w:t>Mandatory same-day or next-day cleanup checklist.</w:t>
            </w:r>
          </w:p>
        </w:tc>
      </w:tr>
    </w:tbl>
    <w:p/>
    <w:p>
      <w:pPr>
        <w:pStyle w:val="Heading2"/>
        <w:keepNext/>
      </w:pPr>
      <w:r>
        <w:rPr>
          <w:rFonts w:ascii="Aptos" w:hAnsi="Aptos" w:eastAsia="Aptos"/>
        </w:rPr>
        <w:t>6.1 Student safety statement</w:t>
      </w:r>
    </w:p>
    <w:p>
      <w:pPr>
        <w:spacing w:before="120" w:after="160" w:line="252" w:lineRule="auto"/>
        <w:ind w:left="360" w:right="360"/>
        <w:shd w:fill="FDECEC"/>
      </w:pPr>
      <w:r>
        <w:rPr>
          <w:rFonts w:ascii="Aptos" w:hAnsi="Aptos" w:eastAsia="Aptos"/>
          <w:b/>
          <w:color w:val="7A1818"/>
        </w:rPr>
        <w:t>Students must not enable paid plans, change production policy, upload real data, deploy agents, modify live resources, or remediate live findings unless the instructor has explicitly approved the action and the environment is confirmed as a lab or approved customer scope.</w:t>
      </w:r>
    </w:p>
    <w:p>
      <w:r>
        <w:rPr>
          <w:rFonts w:ascii="Aptos" w:hAnsi="Aptos" w:eastAsia="Aptos"/>
        </w:rPr>
        <w:br w:type="page"/>
      </w:r>
    </w:p>
    <w:p>
      <w:pPr>
        <w:pStyle w:val="Heading1"/>
        <w:keepNext/>
      </w:pPr>
      <w:r>
        <w:rPr>
          <w:rFonts w:ascii="Aptos" w:hAnsi="Aptos" w:eastAsia="Aptos"/>
        </w:rPr>
        <w:t>7. Sandbox Alternative if No Azure Tenant Is Available</w:t>
      </w:r>
    </w:p>
    <w:p>
      <w:pPr>
        <w:pStyle w:val="Heading2"/>
        <w:keepNext/>
      </w:pPr>
      <w:r>
        <w:rPr>
          <w:rFonts w:ascii="Aptos" w:hAnsi="Aptos" w:eastAsia="Aptos"/>
        </w:rPr>
        <w:t>7.1 Sandbox options</w:t>
      </w:r>
    </w:p>
    <w:tbl>
      <w:tblPr>
        <w:tblStyle w:val="TableGrid"/>
        <w:tblW w:type="auto" w:w="0"/>
        <w:jc w:val="center"/>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3408"/>
        <w:gridCol w:w="3408"/>
        <w:gridCol w:w="3408"/>
      </w:tblGrid>
      <w:tr>
        <w:trPr>
          <w:trHeight w:hRule="atLeast"/>
          <w:tblHeader w:val="true"/>
        </w:trPr>
        <w:tc>
          <w:tcPr>
            <w:tcW w:type="dxa" w:w="2304"/>
            <w:shd w:fill="005A9C"/>
            <w:vAlign w:val="top"/>
            <w:tcMar>
              <w:top w:w="90" w:type="dxa"/>
              <w:start w:w="90" w:type="dxa"/>
              <w:bottom w:w="90" w:type="dxa"/>
              <w:end w:w="90" w:type="dxa"/>
            </w:tcMar>
          </w:tcPr>
          <w:p>
            <w:pPr>
              <w:spacing w:after="0"/>
            </w:pPr>
            <w:r>
              <w:rPr>
                <w:b/>
                <w:color w:val="FFFFFF"/>
                <w:sz w:val="16"/>
              </w:rPr>
            </w:r>
            <w:r>
              <w:rPr>
                <w:b/>
                <w:color w:val="FFFFFF"/>
                <w:sz w:val="16"/>
              </w:rPr>
              <w:t>Option</w:t>
            </w:r>
          </w:p>
        </w:tc>
        <w:tc>
          <w:tcPr>
            <w:tcW w:type="dxa" w:w="5472"/>
            <w:shd w:fill="005A9C"/>
            <w:vAlign w:val="top"/>
            <w:tcMar>
              <w:top w:w="90" w:type="dxa"/>
              <w:start w:w="90" w:type="dxa"/>
              <w:bottom w:w="90" w:type="dxa"/>
              <w:end w:w="90" w:type="dxa"/>
            </w:tcMar>
          </w:tcPr>
          <w:p>
            <w:pPr>
              <w:spacing w:after="0"/>
            </w:pPr>
            <w:r>
              <w:rPr>
                <w:b/>
                <w:color w:val="FFFFFF"/>
                <w:sz w:val="16"/>
              </w:rPr>
            </w:r>
            <w:r>
              <w:rPr>
                <w:b/>
                <w:color w:val="FFFFFF"/>
                <w:sz w:val="16"/>
              </w:rPr>
              <w:t>Approach</w:t>
            </w:r>
          </w:p>
        </w:tc>
        <w:tc>
          <w:tcPr>
            <w:tcW w:type="dxa" w:w="2880"/>
            <w:shd w:fill="005A9C"/>
            <w:vAlign w:val="top"/>
            <w:tcMar>
              <w:top w:w="90" w:type="dxa"/>
              <w:start w:w="90" w:type="dxa"/>
              <w:bottom w:w="90" w:type="dxa"/>
              <w:end w:w="90" w:type="dxa"/>
            </w:tcMar>
          </w:tcPr>
          <w:p>
            <w:pPr>
              <w:spacing w:after="0"/>
            </w:pPr>
            <w:r>
              <w:rPr>
                <w:b/>
                <w:color w:val="FFFFFF"/>
                <w:sz w:val="16"/>
              </w:rPr>
            </w:r>
            <w:r>
              <w:rPr>
                <w:b/>
                <w:color w:val="FFFFFF"/>
                <w:sz w:val="16"/>
              </w:rPr>
              <w:t>Best Use</w:t>
            </w:r>
          </w:p>
        </w:tc>
      </w:tr>
      <w:tr>
        <w:trPr>
          <w:trHeight w:hRule="atLeast"/>
        </w:trPr>
        <w:tc>
          <w:tcPr>
            <w:tcW w:type="dxa" w:w="2304"/>
            <w:vAlign w:val="top"/>
            <w:tcMar>
              <w:top w:w="90" w:type="dxa"/>
              <w:start w:w="90" w:type="dxa"/>
              <w:bottom w:w="90" w:type="dxa"/>
              <w:end w:w="90" w:type="dxa"/>
            </w:tcMar>
          </w:tcPr>
          <w:p>
            <w:pPr>
              <w:spacing w:after="0"/>
            </w:pPr>
            <w:r>
              <w:rPr>
                <w:b/>
                <w:color w:val="122A44"/>
                <w:sz w:val="16"/>
              </w:rPr>
            </w:r>
            <w:r>
              <w:rPr>
                <w:b/>
                <w:color w:val="122A44"/>
                <w:sz w:val="16"/>
              </w:rPr>
              <w:t>A. Instructor demo tenant</w:t>
            </w:r>
          </w:p>
        </w:tc>
        <w:tc>
          <w:tcPr>
            <w:tcW w:type="dxa" w:w="5472"/>
            <w:vAlign w:val="top"/>
            <w:tcMar>
              <w:top w:w="90" w:type="dxa"/>
              <w:start w:w="90" w:type="dxa"/>
              <w:bottom w:w="90" w:type="dxa"/>
              <w:end w:w="90" w:type="dxa"/>
            </w:tcMar>
          </w:tcPr>
          <w:p>
            <w:pPr>
              <w:spacing w:after="0"/>
            </w:pPr>
            <w:r>
              <w:rPr>
                <w:sz w:val="16"/>
              </w:rPr>
            </w:r>
            <w:r>
              <w:rPr>
                <w:b w:val="0"/>
                <w:sz w:val="16"/>
              </w:rPr>
              <w:t>Instructor controls Azure tenant; students observe, complete worksheets, and capture evidence from screenshots or guided walkthroughs.</w:t>
            </w:r>
          </w:p>
        </w:tc>
        <w:tc>
          <w:tcPr>
            <w:tcW w:type="dxa" w:w="2880"/>
            <w:vAlign w:val="top"/>
            <w:tcMar>
              <w:top w:w="90" w:type="dxa"/>
              <w:start w:w="90" w:type="dxa"/>
              <w:bottom w:w="90" w:type="dxa"/>
              <w:end w:w="90" w:type="dxa"/>
            </w:tcMar>
          </w:tcPr>
          <w:p>
            <w:pPr>
              <w:spacing w:after="0"/>
            </w:pPr>
            <w:r>
              <w:rPr>
                <w:sz w:val="16"/>
              </w:rPr>
            </w:r>
            <w:r>
              <w:rPr>
                <w:b w:val="0"/>
                <w:sz w:val="16"/>
              </w:rPr>
              <w:t>Best for instructor-led delivery with limited student permissions.</w:t>
            </w:r>
          </w:p>
        </w:tc>
      </w:tr>
      <w:tr>
        <w:trPr>
          <w:trHeight w:hRule="atLeast"/>
        </w:trPr>
        <w:tc>
          <w:tcPr>
            <w:tcW w:type="dxa" w:w="2304"/>
            <w:vAlign w:val="top"/>
            <w:tcMar>
              <w:top w:w="90" w:type="dxa"/>
              <w:start w:w="90" w:type="dxa"/>
              <w:bottom w:w="90" w:type="dxa"/>
              <w:end w:w="90" w:type="dxa"/>
            </w:tcMar>
            <w:shd w:fill="FAFCFE"/>
          </w:tcPr>
          <w:p>
            <w:pPr>
              <w:spacing w:after="0"/>
            </w:pPr>
            <w:r>
              <w:rPr>
                <w:b/>
                <w:color w:val="122A44"/>
                <w:sz w:val="16"/>
              </w:rPr>
            </w:r>
            <w:r>
              <w:rPr>
                <w:b/>
                <w:color w:val="122A44"/>
                <w:sz w:val="16"/>
              </w:rPr>
              <w:t>B. Demo-only simulation</w:t>
            </w:r>
          </w:p>
        </w:tc>
        <w:tc>
          <w:tcPr>
            <w:tcW w:type="dxa" w:w="5472"/>
            <w:vAlign w:val="top"/>
            <w:tcMar>
              <w:top w:w="90" w:type="dxa"/>
              <w:start w:w="90" w:type="dxa"/>
              <w:bottom w:w="90" w:type="dxa"/>
              <w:end w:w="90" w:type="dxa"/>
            </w:tcMar>
            <w:shd w:fill="FAFCFE"/>
          </w:tcPr>
          <w:p>
            <w:pPr>
              <w:spacing w:after="0"/>
            </w:pPr>
            <w:r>
              <w:rPr>
                <w:sz w:val="16"/>
              </w:rPr>
            </w:r>
            <w:r>
              <w:rPr>
                <w:b w:val="0"/>
                <w:sz w:val="16"/>
              </w:rPr>
              <w:t>Use screenshots, exported recommendations, sample Secure Score, simulated incidents, and prepared case files.</w:t>
            </w:r>
          </w:p>
        </w:tc>
        <w:tc>
          <w:tcPr>
            <w:tcW w:type="dxa" w:w="2880"/>
            <w:vAlign w:val="top"/>
            <w:tcMar>
              <w:top w:w="90" w:type="dxa"/>
              <w:start w:w="90" w:type="dxa"/>
              <w:bottom w:w="90" w:type="dxa"/>
              <w:end w:w="90" w:type="dxa"/>
            </w:tcMar>
            <w:shd w:fill="FAFCFE"/>
          </w:tcPr>
          <w:p>
            <w:pPr>
              <w:spacing w:after="0"/>
            </w:pPr>
            <w:r>
              <w:rPr>
                <w:sz w:val="16"/>
              </w:rPr>
            </w:r>
            <w:r>
              <w:rPr>
                <w:b w:val="0"/>
                <w:sz w:val="16"/>
              </w:rPr>
              <w:t>Best where no paid Azure usage is approved.</w:t>
            </w:r>
          </w:p>
        </w:tc>
      </w:tr>
      <w:tr>
        <w:trPr>
          <w:trHeight w:hRule="atLeast"/>
        </w:trPr>
        <w:tc>
          <w:tcPr>
            <w:tcW w:type="dxa" w:w="2304"/>
            <w:vAlign w:val="top"/>
            <w:tcMar>
              <w:top w:w="90" w:type="dxa"/>
              <w:start w:w="90" w:type="dxa"/>
              <w:bottom w:w="90" w:type="dxa"/>
              <w:end w:w="90" w:type="dxa"/>
            </w:tcMar>
          </w:tcPr>
          <w:p>
            <w:pPr>
              <w:spacing w:after="0"/>
            </w:pPr>
            <w:r>
              <w:rPr>
                <w:b/>
                <w:color w:val="122A44"/>
                <w:sz w:val="16"/>
              </w:rPr>
            </w:r>
            <w:r>
              <w:rPr>
                <w:b/>
                <w:color w:val="122A44"/>
                <w:sz w:val="16"/>
              </w:rPr>
              <w:t>C. Microsoft Learn plus guided review</w:t>
            </w:r>
          </w:p>
        </w:tc>
        <w:tc>
          <w:tcPr>
            <w:tcW w:type="dxa" w:w="5472"/>
            <w:vAlign w:val="top"/>
            <w:tcMar>
              <w:top w:w="90" w:type="dxa"/>
              <w:start w:w="90" w:type="dxa"/>
              <w:bottom w:w="90" w:type="dxa"/>
              <w:end w:w="90" w:type="dxa"/>
            </w:tcMar>
          </w:tcPr>
          <w:p>
            <w:pPr>
              <w:spacing w:after="0"/>
            </w:pPr>
            <w:r>
              <w:rPr>
                <w:sz w:val="16"/>
              </w:rPr>
            </w:r>
            <w:r>
              <w:rPr>
                <w:b w:val="0"/>
                <w:sz w:val="16"/>
              </w:rPr>
              <w:t>Students complete Microsoft Learn modules and then perform scenario-based worksheets and capstone planning.</w:t>
            </w:r>
          </w:p>
        </w:tc>
        <w:tc>
          <w:tcPr>
            <w:tcW w:type="dxa" w:w="2880"/>
            <w:vAlign w:val="top"/>
            <w:tcMar>
              <w:top w:w="90" w:type="dxa"/>
              <w:start w:w="90" w:type="dxa"/>
              <w:bottom w:w="90" w:type="dxa"/>
              <w:end w:w="90" w:type="dxa"/>
            </w:tcMar>
          </w:tcPr>
          <w:p>
            <w:pPr>
              <w:spacing w:after="0"/>
            </w:pPr>
            <w:r>
              <w:rPr>
                <w:sz w:val="16"/>
              </w:rPr>
            </w:r>
            <w:r>
              <w:rPr>
                <w:b w:val="0"/>
                <w:sz w:val="16"/>
              </w:rPr>
              <w:t>Best for self-paced learners.</w:t>
            </w:r>
          </w:p>
        </w:tc>
      </w:tr>
      <w:tr>
        <w:trPr>
          <w:trHeight w:hRule="atLeast"/>
        </w:trPr>
        <w:tc>
          <w:tcPr>
            <w:tcW w:type="dxa" w:w="2304"/>
            <w:vAlign w:val="top"/>
            <w:tcMar>
              <w:top w:w="90" w:type="dxa"/>
              <w:start w:w="90" w:type="dxa"/>
              <w:bottom w:w="90" w:type="dxa"/>
              <w:end w:w="90" w:type="dxa"/>
            </w:tcMar>
            <w:shd w:fill="FAFCFE"/>
          </w:tcPr>
          <w:p>
            <w:pPr>
              <w:spacing w:after="0"/>
            </w:pPr>
            <w:r>
              <w:rPr>
                <w:b/>
                <w:color w:val="122A44"/>
                <w:sz w:val="16"/>
              </w:rPr>
            </w:r>
            <w:r>
              <w:rPr>
                <w:b/>
                <w:color w:val="122A44"/>
                <w:sz w:val="16"/>
              </w:rPr>
              <w:t>D. Shared lab subscription</w:t>
            </w:r>
          </w:p>
        </w:tc>
        <w:tc>
          <w:tcPr>
            <w:tcW w:type="dxa" w:w="5472"/>
            <w:vAlign w:val="top"/>
            <w:tcMar>
              <w:top w:w="90" w:type="dxa"/>
              <w:start w:w="90" w:type="dxa"/>
              <w:bottom w:w="90" w:type="dxa"/>
              <w:end w:w="90" w:type="dxa"/>
            </w:tcMar>
            <w:shd w:fill="FAFCFE"/>
          </w:tcPr>
          <w:p>
            <w:pPr>
              <w:spacing w:after="0"/>
            </w:pPr>
            <w:r>
              <w:rPr>
                <w:sz w:val="16"/>
              </w:rPr>
            </w:r>
            <w:r>
              <w:rPr>
                <w:b w:val="0"/>
                <w:sz w:val="16"/>
              </w:rPr>
              <w:t>One shared training subscription with isolated resource groups and scoped student permissions.</w:t>
            </w:r>
          </w:p>
        </w:tc>
        <w:tc>
          <w:tcPr>
            <w:tcW w:type="dxa" w:w="2880"/>
            <w:vAlign w:val="top"/>
            <w:tcMar>
              <w:top w:w="90" w:type="dxa"/>
              <w:start w:w="90" w:type="dxa"/>
              <w:bottom w:w="90" w:type="dxa"/>
              <w:end w:w="90" w:type="dxa"/>
            </w:tcMar>
            <w:shd w:fill="FAFCFE"/>
          </w:tcPr>
          <w:p>
            <w:pPr>
              <w:spacing w:after="0"/>
            </w:pPr>
            <w:r>
              <w:rPr>
                <w:sz w:val="16"/>
              </w:rPr>
            </w:r>
            <w:r>
              <w:rPr>
                <w:b w:val="0"/>
                <w:sz w:val="16"/>
              </w:rPr>
              <w:t>Best balance between cost control and hands-on activity.</w:t>
            </w:r>
          </w:p>
        </w:tc>
      </w:tr>
    </w:tbl>
    <w:p/>
    <w:p>
      <w:pPr>
        <w:pStyle w:val="Heading2"/>
        <w:keepNext/>
      </w:pPr>
      <w:r>
        <w:rPr>
          <w:rFonts w:ascii="Aptos" w:hAnsi="Aptos" w:eastAsia="Aptos"/>
        </w:rPr>
        <w:t>7.2 Sandbox deliverables</w:t>
      </w:r>
    </w:p>
    <w:p>
      <w:pPr>
        <w:pStyle w:val="ListBullet"/>
        <w:spacing w:after="60"/>
      </w:pPr>
      <w:r>
        <w:rPr>
          <w:rFonts w:ascii="Aptos" w:hAnsi="Aptos" w:eastAsia="Aptos"/>
        </w:rPr>
        <w:t>Security Priority Map</w:t>
      </w:r>
    </w:p>
    <w:p>
      <w:pPr>
        <w:pStyle w:val="ListBullet"/>
        <w:spacing w:after="60"/>
      </w:pPr>
      <w:r>
        <w:rPr>
          <w:rFonts w:ascii="Aptos" w:hAnsi="Aptos" w:eastAsia="Aptos"/>
        </w:rPr>
        <w:t>Cloud Security Posture Review Checklist</w:t>
      </w:r>
    </w:p>
    <w:p>
      <w:pPr>
        <w:pStyle w:val="ListBullet"/>
        <w:spacing w:after="60"/>
      </w:pPr>
      <w:r>
        <w:rPr>
          <w:rFonts w:ascii="Aptos" w:hAnsi="Aptos" w:eastAsia="Aptos"/>
        </w:rPr>
        <w:t>Workload Protection Selection Matrix</w:t>
      </w:r>
    </w:p>
    <w:p>
      <w:pPr>
        <w:pStyle w:val="ListBullet"/>
        <w:spacing w:after="60"/>
      </w:pPr>
      <w:r>
        <w:rPr>
          <w:rFonts w:ascii="Aptos" w:hAnsi="Aptos" w:eastAsia="Aptos"/>
        </w:rPr>
        <w:t>AI Security Risk Review</w:t>
      </w:r>
    </w:p>
    <w:p>
      <w:pPr>
        <w:pStyle w:val="ListBullet"/>
        <w:spacing w:after="60"/>
      </w:pPr>
      <w:r>
        <w:rPr>
          <w:rFonts w:ascii="Aptos" w:hAnsi="Aptos" w:eastAsia="Aptos"/>
        </w:rPr>
        <w:t>Attack Path and Remediation Planning worksheet</w:t>
      </w:r>
    </w:p>
    <w:p>
      <w:pPr>
        <w:pStyle w:val="ListBullet"/>
        <w:spacing w:after="60"/>
      </w:pPr>
      <w:r>
        <w:rPr>
          <w:rFonts w:ascii="Aptos" w:hAnsi="Aptos" w:eastAsia="Aptos"/>
        </w:rPr>
        <w:t>30-Day Remediation Roadmap</w:t>
      </w:r>
    </w:p>
    <w:p>
      <w:pPr>
        <w:pStyle w:val="ListBullet"/>
        <w:spacing w:after="60"/>
      </w:pPr>
      <w:r>
        <w:rPr>
          <w:rFonts w:ascii="Aptos" w:hAnsi="Aptos" w:eastAsia="Aptos"/>
        </w:rPr>
        <w:t>Screenshot evidence pack or simulated findings pack</w:t>
      </w:r>
    </w:p>
    <w:p>
      <w:r>
        <w:rPr>
          <w:rFonts w:ascii="Aptos" w:hAnsi="Aptos" w:eastAsia="Aptos"/>
        </w:rPr>
        <w:br w:type="page"/>
      </w:r>
    </w:p>
    <w:p>
      <w:pPr>
        <w:pStyle w:val="Heading1"/>
        <w:keepNext/>
      </w:pPr>
      <w:r>
        <w:rPr>
          <w:rFonts w:ascii="Aptos" w:hAnsi="Aptos" w:eastAsia="Aptos"/>
        </w:rPr>
        <w:t>8. Lab Readiness Checklist</w:t>
      </w:r>
    </w:p>
    <w:tbl>
      <w:tblPr>
        <w:tblStyle w:val="TableGrid"/>
        <w:tblW w:type="auto" w:w="0"/>
        <w:jc w:val="center"/>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3408"/>
        <w:gridCol w:w="3408"/>
        <w:gridCol w:w="3408"/>
      </w:tblGrid>
      <w:tr>
        <w:trPr>
          <w:trHeight w:hRule="atLeast"/>
          <w:tblHeader w:val="true"/>
        </w:trPr>
        <w:tc>
          <w:tcPr>
            <w:tcW w:type="dxa" w:w="3168"/>
            <w:shd w:fill="122A44"/>
            <w:vAlign w:val="top"/>
            <w:tcMar>
              <w:top w:w="90" w:type="dxa"/>
              <w:start w:w="90" w:type="dxa"/>
              <w:bottom w:w="90" w:type="dxa"/>
              <w:end w:w="90" w:type="dxa"/>
            </w:tcMar>
          </w:tcPr>
          <w:p>
            <w:pPr>
              <w:spacing w:after="0"/>
            </w:pPr>
            <w:r>
              <w:rPr>
                <w:b/>
                <w:color w:val="FFFFFF"/>
                <w:sz w:val="16"/>
              </w:rPr>
            </w:r>
            <w:r>
              <w:rPr>
                <w:b/>
                <w:color w:val="FFFFFF"/>
                <w:sz w:val="16"/>
              </w:rPr>
              <w:t>Readiness Item</w:t>
            </w:r>
          </w:p>
        </w:tc>
        <w:tc>
          <w:tcPr>
            <w:tcW w:type="dxa" w:w="936"/>
            <w:shd w:fill="122A44"/>
            <w:vAlign w:val="top"/>
            <w:tcMar>
              <w:top w:w="90" w:type="dxa"/>
              <w:start w:w="90" w:type="dxa"/>
              <w:bottom w:w="90" w:type="dxa"/>
              <w:end w:w="90" w:type="dxa"/>
            </w:tcMar>
          </w:tcPr>
          <w:p>
            <w:pPr>
              <w:spacing w:after="0"/>
            </w:pPr>
            <w:r>
              <w:rPr>
                <w:b/>
                <w:color w:val="FFFFFF"/>
                <w:sz w:val="16"/>
              </w:rPr>
            </w:r>
            <w:r>
              <w:rPr>
                <w:b/>
                <w:color w:val="FFFFFF"/>
                <w:sz w:val="16"/>
              </w:rPr>
              <w:t>Done</w:t>
            </w:r>
          </w:p>
        </w:tc>
        <w:tc>
          <w:tcPr>
            <w:tcW w:type="dxa" w:w="6552"/>
            <w:shd w:fill="122A44"/>
            <w:vAlign w:val="top"/>
            <w:tcMar>
              <w:top w:w="90" w:type="dxa"/>
              <w:start w:w="90" w:type="dxa"/>
              <w:bottom w:w="90" w:type="dxa"/>
              <w:end w:w="90" w:type="dxa"/>
            </w:tcMar>
          </w:tcPr>
          <w:p>
            <w:pPr>
              <w:spacing w:after="0"/>
            </w:pPr>
            <w:r>
              <w:rPr>
                <w:b/>
                <w:color w:val="FFFFFF"/>
                <w:sz w:val="16"/>
              </w:rPr>
            </w:r>
            <w:r>
              <w:rPr>
                <w:b/>
                <w:color w:val="FFFFFF"/>
                <w:sz w:val="16"/>
              </w:rPr>
              <w:t>Validation</w:t>
            </w:r>
          </w:p>
        </w:tc>
      </w:tr>
      <w:tr>
        <w:trPr>
          <w:trHeight w:hRule="atLeast"/>
        </w:trPr>
        <w:tc>
          <w:tcPr>
            <w:tcW w:type="dxa" w:w="3168"/>
            <w:vAlign w:val="top"/>
            <w:tcMar>
              <w:top w:w="90" w:type="dxa"/>
              <w:start w:w="90" w:type="dxa"/>
              <w:bottom w:w="90" w:type="dxa"/>
              <w:end w:w="90" w:type="dxa"/>
            </w:tcMar>
          </w:tcPr>
          <w:p>
            <w:pPr>
              <w:spacing w:after="0"/>
            </w:pPr>
            <w:r>
              <w:rPr>
                <w:b/>
                <w:color w:val="122A44"/>
                <w:sz w:val="16"/>
              </w:rPr>
            </w:r>
            <w:r>
              <w:rPr>
                <w:b/>
                <w:color w:val="122A44"/>
                <w:sz w:val="16"/>
              </w:rPr>
              <w:t>Tenant confirmed</w:t>
            </w:r>
          </w:p>
        </w:tc>
        <w:tc>
          <w:tcPr>
            <w:tcW w:type="dxa" w:w="936"/>
            <w:vAlign w:val="top"/>
            <w:tcMar>
              <w:top w:w="90" w:type="dxa"/>
              <w:start w:w="90" w:type="dxa"/>
              <w:bottom w:w="90" w:type="dxa"/>
              <w:end w:w="90" w:type="dxa"/>
            </w:tcMar>
          </w:tcPr>
          <w:p>
            <w:pPr>
              <w:spacing w:after="0"/>
            </w:pPr>
            <w:r>
              <w:rPr>
                <w:sz w:val="16"/>
              </w:rPr>
            </w:r>
            <w:r>
              <w:rPr>
                <w:b w:val="0"/>
                <w:sz w:val="16"/>
              </w:rPr>
              <w:t>[ ]</w:t>
            </w:r>
          </w:p>
        </w:tc>
        <w:tc>
          <w:tcPr>
            <w:tcW w:type="dxa" w:w="6552"/>
            <w:vAlign w:val="top"/>
            <w:tcMar>
              <w:top w:w="90" w:type="dxa"/>
              <w:start w:w="90" w:type="dxa"/>
              <w:bottom w:w="90" w:type="dxa"/>
              <w:end w:w="90" w:type="dxa"/>
            </w:tcMar>
          </w:tcPr>
          <w:p>
            <w:pPr>
              <w:spacing w:after="0"/>
            </w:pPr>
            <w:r>
              <w:rPr>
                <w:sz w:val="16"/>
              </w:rPr>
            </w:r>
            <w:r>
              <w:rPr>
                <w:b w:val="0"/>
                <w:sz w:val="16"/>
              </w:rPr>
              <w:t>Correct Microsoft Entra tenant/directory identified and tested.</w:t>
            </w:r>
          </w:p>
        </w:tc>
      </w:tr>
      <w:tr>
        <w:trPr>
          <w:trHeight w:hRule="atLeast"/>
        </w:trPr>
        <w:tc>
          <w:tcPr>
            <w:tcW w:type="dxa" w:w="3168"/>
            <w:vAlign w:val="top"/>
            <w:tcMar>
              <w:top w:w="90" w:type="dxa"/>
              <w:start w:w="90" w:type="dxa"/>
              <w:bottom w:w="90" w:type="dxa"/>
              <w:end w:w="90" w:type="dxa"/>
            </w:tcMar>
            <w:shd w:fill="FAFCFE"/>
          </w:tcPr>
          <w:p>
            <w:pPr>
              <w:spacing w:after="0"/>
            </w:pPr>
            <w:r>
              <w:rPr>
                <w:b/>
                <w:color w:val="122A44"/>
                <w:sz w:val="16"/>
              </w:rPr>
            </w:r>
            <w:r>
              <w:rPr>
                <w:b/>
                <w:color w:val="122A44"/>
                <w:sz w:val="16"/>
              </w:rPr>
              <w:t>Subscription active</w:t>
            </w:r>
          </w:p>
        </w:tc>
        <w:tc>
          <w:tcPr>
            <w:tcW w:type="dxa" w:w="936"/>
            <w:vAlign w:val="top"/>
            <w:tcMar>
              <w:top w:w="90" w:type="dxa"/>
              <w:start w:w="90" w:type="dxa"/>
              <w:bottom w:w="90" w:type="dxa"/>
              <w:end w:w="90" w:type="dxa"/>
            </w:tcMar>
            <w:shd w:fill="FAFCFE"/>
          </w:tcPr>
          <w:p>
            <w:pPr>
              <w:spacing w:after="0"/>
            </w:pPr>
            <w:r>
              <w:rPr>
                <w:sz w:val="16"/>
              </w:rPr>
            </w:r>
            <w:r>
              <w:rPr>
                <w:b w:val="0"/>
                <w:sz w:val="16"/>
              </w:rPr>
              <w:t>[ ]</w:t>
            </w:r>
          </w:p>
        </w:tc>
        <w:tc>
          <w:tcPr>
            <w:tcW w:type="dxa" w:w="6552"/>
            <w:vAlign w:val="top"/>
            <w:tcMar>
              <w:top w:w="90" w:type="dxa"/>
              <w:start w:w="90" w:type="dxa"/>
              <w:bottom w:w="90" w:type="dxa"/>
              <w:end w:w="90" w:type="dxa"/>
            </w:tcMar>
            <w:shd w:fill="FAFCFE"/>
          </w:tcPr>
          <w:p>
            <w:pPr>
              <w:spacing w:after="0"/>
            </w:pPr>
            <w:r>
              <w:rPr>
                <w:sz w:val="16"/>
              </w:rPr>
            </w:r>
            <w:r>
              <w:rPr>
                <w:b w:val="0"/>
                <w:sz w:val="16"/>
              </w:rPr>
              <w:t>Lab subscription active and visible in Azure portal.</w:t>
            </w:r>
          </w:p>
        </w:tc>
      </w:tr>
      <w:tr>
        <w:trPr>
          <w:trHeight w:hRule="atLeast"/>
        </w:trPr>
        <w:tc>
          <w:tcPr>
            <w:tcW w:type="dxa" w:w="3168"/>
            <w:vAlign w:val="top"/>
            <w:tcMar>
              <w:top w:w="90" w:type="dxa"/>
              <w:start w:w="90" w:type="dxa"/>
              <w:bottom w:w="90" w:type="dxa"/>
              <w:end w:w="90" w:type="dxa"/>
            </w:tcMar>
          </w:tcPr>
          <w:p>
            <w:pPr>
              <w:spacing w:after="0"/>
            </w:pPr>
            <w:r>
              <w:rPr>
                <w:b/>
                <w:color w:val="122A44"/>
                <w:sz w:val="16"/>
              </w:rPr>
            </w:r>
            <w:r>
              <w:rPr>
                <w:b/>
                <w:color w:val="122A44"/>
                <w:sz w:val="16"/>
              </w:rPr>
              <w:t>Billing confirmed</w:t>
            </w:r>
          </w:p>
        </w:tc>
        <w:tc>
          <w:tcPr>
            <w:tcW w:type="dxa" w:w="936"/>
            <w:vAlign w:val="top"/>
            <w:tcMar>
              <w:top w:w="90" w:type="dxa"/>
              <w:start w:w="90" w:type="dxa"/>
              <w:bottom w:w="90" w:type="dxa"/>
              <w:end w:w="90" w:type="dxa"/>
            </w:tcMar>
          </w:tcPr>
          <w:p>
            <w:pPr>
              <w:spacing w:after="0"/>
            </w:pPr>
            <w:r>
              <w:rPr>
                <w:sz w:val="16"/>
              </w:rPr>
            </w:r>
            <w:r>
              <w:rPr>
                <w:b w:val="0"/>
                <w:sz w:val="16"/>
              </w:rPr>
              <w:t>[ ]</w:t>
            </w:r>
          </w:p>
        </w:tc>
        <w:tc>
          <w:tcPr>
            <w:tcW w:type="dxa" w:w="6552"/>
            <w:vAlign w:val="top"/>
            <w:tcMar>
              <w:top w:w="90" w:type="dxa"/>
              <w:start w:w="90" w:type="dxa"/>
              <w:bottom w:w="90" w:type="dxa"/>
              <w:end w:w="90" w:type="dxa"/>
            </w:tcMar>
          </w:tcPr>
          <w:p>
            <w:pPr>
              <w:spacing w:after="0"/>
            </w:pPr>
            <w:r>
              <w:rPr>
                <w:sz w:val="16"/>
              </w:rPr>
            </w:r>
            <w:r>
              <w:rPr>
                <w:b w:val="0"/>
                <w:sz w:val="16"/>
              </w:rPr>
              <w:t>Budget owner approves estimated lab exposure.</w:t>
            </w:r>
          </w:p>
        </w:tc>
      </w:tr>
      <w:tr>
        <w:trPr>
          <w:trHeight w:hRule="atLeast"/>
        </w:trPr>
        <w:tc>
          <w:tcPr>
            <w:tcW w:type="dxa" w:w="3168"/>
            <w:vAlign w:val="top"/>
            <w:tcMar>
              <w:top w:w="90" w:type="dxa"/>
              <w:start w:w="90" w:type="dxa"/>
              <w:bottom w:w="90" w:type="dxa"/>
              <w:end w:w="90" w:type="dxa"/>
            </w:tcMar>
            <w:shd w:fill="FAFCFE"/>
          </w:tcPr>
          <w:p>
            <w:pPr>
              <w:spacing w:after="0"/>
            </w:pPr>
            <w:r>
              <w:rPr>
                <w:b/>
                <w:color w:val="122A44"/>
                <w:sz w:val="16"/>
              </w:rPr>
            </w:r>
            <w:r>
              <w:rPr>
                <w:b/>
                <w:color w:val="122A44"/>
                <w:sz w:val="16"/>
              </w:rPr>
              <w:t>Student accounts created</w:t>
            </w:r>
          </w:p>
        </w:tc>
        <w:tc>
          <w:tcPr>
            <w:tcW w:type="dxa" w:w="936"/>
            <w:vAlign w:val="top"/>
            <w:tcMar>
              <w:top w:w="90" w:type="dxa"/>
              <w:start w:w="90" w:type="dxa"/>
              <w:bottom w:w="90" w:type="dxa"/>
              <w:end w:w="90" w:type="dxa"/>
            </w:tcMar>
            <w:shd w:fill="FAFCFE"/>
          </w:tcPr>
          <w:p>
            <w:pPr>
              <w:spacing w:after="0"/>
            </w:pPr>
            <w:r>
              <w:rPr>
                <w:sz w:val="16"/>
              </w:rPr>
            </w:r>
            <w:r>
              <w:rPr>
                <w:b w:val="0"/>
                <w:sz w:val="16"/>
              </w:rPr>
              <w:t>[ ]</w:t>
            </w:r>
          </w:p>
        </w:tc>
        <w:tc>
          <w:tcPr>
            <w:tcW w:type="dxa" w:w="6552"/>
            <w:vAlign w:val="top"/>
            <w:tcMar>
              <w:top w:w="90" w:type="dxa"/>
              <w:start w:w="90" w:type="dxa"/>
              <w:bottom w:w="90" w:type="dxa"/>
              <w:end w:w="90" w:type="dxa"/>
            </w:tcMar>
            <w:shd w:fill="FAFCFE"/>
          </w:tcPr>
          <w:p>
            <w:pPr>
              <w:spacing w:after="0"/>
            </w:pPr>
            <w:r>
              <w:rPr>
                <w:sz w:val="16"/>
              </w:rPr>
            </w:r>
            <w:r>
              <w:rPr>
                <w:b w:val="0"/>
                <w:sz w:val="16"/>
              </w:rPr>
              <w:t>Named accounts available; no shared admin accounts.</w:t>
            </w:r>
          </w:p>
        </w:tc>
      </w:tr>
      <w:tr>
        <w:trPr>
          <w:trHeight w:hRule="atLeast"/>
        </w:trPr>
        <w:tc>
          <w:tcPr>
            <w:tcW w:type="dxa" w:w="3168"/>
            <w:vAlign w:val="top"/>
            <w:tcMar>
              <w:top w:w="90" w:type="dxa"/>
              <w:start w:w="90" w:type="dxa"/>
              <w:bottom w:w="90" w:type="dxa"/>
              <w:end w:w="90" w:type="dxa"/>
            </w:tcMar>
          </w:tcPr>
          <w:p>
            <w:pPr>
              <w:spacing w:after="0"/>
            </w:pPr>
            <w:r>
              <w:rPr>
                <w:b/>
                <w:color w:val="122A44"/>
                <w:sz w:val="16"/>
              </w:rPr>
            </w:r>
            <w:r>
              <w:rPr>
                <w:b/>
                <w:color w:val="122A44"/>
                <w:sz w:val="16"/>
              </w:rPr>
              <w:t>MFA tested</w:t>
            </w:r>
          </w:p>
        </w:tc>
        <w:tc>
          <w:tcPr>
            <w:tcW w:type="dxa" w:w="936"/>
            <w:vAlign w:val="top"/>
            <w:tcMar>
              <w:top w:w="90" w:type="dxa"/>
              <w:start w:w="90" w:type="dxa"/>
              <w:bottom w:w="90" w:type="dxa"/>
              <w:end w:w="90" w:type="dxa"/>
            </w:tcMar>
          </w:tcPr>
          <w:p>
            <w:pPr>
              <w:spacing w:after="0"/>
            </w:pPr>
            <w:r>
              <w:rPr>
                <w:sz w:val="16"/>
              </w:rPr>
            </w:r>
            <w:r>
              <w:rPr>
                <w:b w:val="0"/>
                <w:sz w:val="16"/>
              </w:rPr>
              <w:t>[ ]</w:t>
            </w:r>
          </w:p>
        </w:tc>
        <w:tc>
          <w:tcPr>
            <w:tcW w:type="dxa" w:w="6552"/>
            <w:vAlign w:val="top"/>
            <w:tcMar>
              <w:top w:w="90" w:type="dxa"/>
              <w:start w:w="90" w:type="dxa"/>
              <w:bottom w:w="90" w:type="dxa"/>
              <w:end w:w="90" w:type="dxa"/>
            </w:tcMar>
          </w:tcPr>
          <w:p>
            <w:pPr>
              <w:spacing w:after="0"/>
            </w:pPr>
            <w:r>
              <w:rPr>
                <w:sz w:val="16"/>
              </w:rPr>
            </w:r>
            <w:r>
              <w:rPr>
                <w:b w:val="0"/>
                <w:sz w:val="16"/>
              </w:rPr>
              <w:t>MFA works for all student and instructor identities.</w:t>
            </w:r>
          </w:p>
        </w:tc>
      </w:tr>
      <w:tr>
        <w:trPr>
          <w:trHeight w:hRule="atLeast"/>
        </w:trPr>
        <w:tc>
          <w:tcPr>
            <w:tcW w:type="dxa" w:w="3168"/>
            <w:vAlign w:val="top"/>
            <w:tcMar>
              <w:top w:w="90" w:type="dxa"/>
              <w:start w:w="90" w:type="dxa"/>
              <w:bottom w:w="90" w:type="dxa"/>
              <w:end w:w="90" w:type="dxa"/>
            </w:tcMar>
            <w:shd w:fill="FAFCFE"/>
          </w:tcPr>
          <w:p>
            <w:pPr>
              <w:spacing w:after="0"/>
            </w:pPr>
            <w:r>
              <w:rPr>
                <w:b/>
                <w:color w:val="122A44"/>
                <w:sz w:val="16"/>
              </w:rPr>
            </w:r>
            <w:r>
              <w:rPr>
                <w:b/>
                <w:color w:val="122A44"/>
                <w:sz w:val="16"/>
              </w:rPr>
              <w:t>RBAC assigned</w:t>
            </w:r>
          </w:p>
        </w:tc>
        <w:tc>
          <w:tcPr>
            <w:tcW w:type="dxa" w:w="936"/>
            <w:vAlign w:val="top"/>
            <w:tcMar>
              <w:top w:w="90" w:type="dxa"/>
              <w:start w:w="90" w:type="dxa"/>
              <w:bottom w:w="90" w:type="dxa"/>
              <w:end w:w="90" w:type="dxa"/>
            </w:tcMar>
            <w:shd w:fill="FAFCFE"/>
          </w:tcPr>
          <w:p>
            <w:pPr>
              <w:spacing w:after="0"/>
            </w:pPr>
            <w:r>
              <w:rPr>
                <w:sz w:val="16"/>
              </w:rPr>
            </w:r>
            <w:r>
              <w:rPr>
                <w:b w:val="0"/>
                <w:sz w:val="16"/>
              </w:rPr>
              <w:t>[ ]</w:t>
            </w:r>
          </w:p>
        </w:tc>
        <w:tc>
          <w:tcPr>
            <w:tcW w:type="dxa" w:w="6552"/>
            <w:vAlign w:val="top"/>
            <w:tcMar>
              <w:top w:w="90" w:type="dxa"/>
              <w:start w:w="90" w:type="dxa"/>
              <w:bottom w:w="90" w:type="dxa"/>
              <w:end w:w="90" w:type="dxa"/>
            </w:tcMar>
            <w:shd w:fill="FAFCFE"/>
          </w:tcPr>
          <w:p>
            <w:pPr>
              <w:spacing w:after="0"/>
            </w:pPr>
            <w:r>
              <w:rPr>
                <w:sz w:val="16"/>
              </w:rPr>
            </w:r>
            <w:r>
              <w:rPr>
                <w:b w:val="0"/>
                <w:sz w:val="16"/>
              </w:rPr>
              <w:t>Reader/Contributor/Security Admin/Owner assigned according to lab model.</w:t>
            </w:r>
          </w:p>
        </w:tc>
      </w:tr>
      <w:tr>
        <w:trPr>
          <w:trHeight w:hRule="atLeast"/>
        </w:trPr>
        <w:tc>
          <w:tcPr>
            <w:tcW w:type="dxa" w:w="3168"/>
            <w:vAlign w:val="top"/>
            <w:tcMar>
              <w:top w:w="90" w:type="dxa"/>
              <w:start w:w="90" w:type="dxa"/>
              <w:bottom w:w="90" w:type="dxa"/>
              <w:end w:w="90" w:type="dxa"/>
            </w:tcMar>
          </w:tcPr>
          <w:p>
            <w:pPr>
              <w:spacing w:after="0"/>
            </w:pPr>
            <w:r>
              <w:rPr>
                <w:b/>
                <w:color w:val="122A44"/>
                <w:sz w:val="16"/>
              </w:rPr>
            </w:r>
            <w:r>
              <w:rPr>
                <w:b/>
                <w:color w:val="122A44"/>
                <w:sz w:val="16"/>
              </w:rPr>
              <w:t>Defender for Cloud visible</w:t>
            </w:r>
          </w:p>
        </w:tc>
        <w:tc>
          <w:tcPr>
            <w:tcW w:type="dxa" w:w="936"/>
            <w:vAlign w:val="top"/>
            <w:tcMar>
              <w:top w:w="90" w:type="dxa"/>
              <w:start w:w="90" w:type="dxa"/>
              <w:bottom w:w="90" w:type="dxa"/>
              <w:end w:w="90" w:type="dxa"/>
            </w:tcMar>
          </w:tcPr>
          <w:p>
            <w:pPr>
              <w:spacing w:after="0"/>
            </w:pPr>
            <w:r>
              <w:rPr>
                <w:sz w:val="16"/>
              </w:rPr>
            </w:r>
            <w:r>
              <w:rPr>
                <w:b w:val="0"/>
                <w:sz w:val="16"/>
              </w:rPr>
              <w:t>[ ]</w:t>
            </w:r>
          </w:p>
        </w:tc>
        <w:tc>
          <w:tcPr>
            <w:tcW w:type="dxa" w:w="6552"/>
            <w:vAlign w:val="top"/>
            <w:tcMar>
              <w:top w:w="90" w:type="dxa"/>
              <w:start w:w="90" w:type="dxa"/>
              <w:bottom w:w="90" w:type="dxa"/>
              <w:end w:w="90" w:type="dxa"/>
            </w:tcMar>
          </w:tcPr>
          <w:p>
            <w:pPr>
              <w:spacing w:after="0"/>
            </w:pPr>
            <w:r>
              <w:rPr>
                <w:sz w:val="16"/>
              </w:rPr>
            </w:r>
            <w:r>
              <w:rPr>
                <w:b w:val="0"/>
                <w:sz w:val="16"/>
              </w:rPr>
              <w:t>Environment settings, Secure Score, recommendations, and inventory load.</w:t>
            </w:r>
          </w:p>
        </w:tc>
      </w:tr>
      <w:tr>
        <w:trPr>
          <w:trHeight w:hRule="atLeast"/>
        </w:trPr>
        <w:tc>
          <w:tcPr>
            <w:tcW w:type="dxa" w:w="3168"/>
            <w:vAlign w:val="top"/>
            <w:tcMar>
              <w:top w:w="90" w:type="dxa"/>
              <w:start w:w="90" w:type="dxa"/>
              <w:bottom w:w="90" w:type="dxa"/>
              <w:end w:w="90" w:type="dxa"/>
            </w:tcMar>
            <w:shd w:fill="FAFCFE"/>
          </w:tcPr>
          <w:p>
            <w:pPr>
              <w:spacing w:after="0"/>
            </w:pPr>
            <w:r>
              <w:rPr>
                <w:b/>
                <w:color w:val="122A44"/>
                <w:sz w:val="16"/>
              </w:rPr>
            </w:r>
            <w:r>
              <w:rPr>
                <w:b/>
                <w:color w:val="122A44"/>
                <w:sz w:val="16"/>
              </w:rPr>
              <w:t>Selected plans reviewed</w:t>
            </w:r>
          </w:p>
        </w:tc>
        <w:tc>
          <w:tcPr>
            <w:tcW w:type="dxa" w:w="936"/>
            <w:vAlign w:val="top"/>
            <w:tcMar>
              <w:top w:w="90" w:type="dxa"/>
              <w:start w:w="90" w:type="dxa"/>
              <w:bottom w:w="90" w:type="dxa"/>
              <w:end w:w="90" w:type="dxa"/>
            </w:tcMar>
            <w:shd w:fill="FAFCFE"/>
          </w:tcPr>
          <w:p>
            <w:pPr>
              <w:spacing w:after="0"/>
            </w:pPr>
            <w:r>
              <w:rPr>
                <w:sz w:val="16"/>
              </w:rPr>
            </w:r>
            <w:r>
              <w:rPr>
                <w:b w:val="0"/>
                <w:sz w:val="16"/>
              </w:rPr>
              <w:t>[ ]</w:t>
            </w:r>
          </w:p>
        </w:tc>
        <w:tc>
          <w:tcPr>
            <w:tcW w:type="dxa" w:w="6552"/>
            <w:vAlign w:val="top"/>
            <w:tcMar>
              <w:top w:w="90" w:type="dxa"/>
              <w:start w:w="90" w:type="dxa"/>
              <w:bottom w:w="90" w:type="dxa"/>
              <w:end w:w="90" w:type="dxa"/>
            </w:tcMar>
            <w:shd w:fill="FAFCFE"/>
          </w:tcPr>
          <w:p>
            <w:pPr>
              <w:spacing w:after="0"/>
            </w:pPr>
            <w:r>
              <w:rPr>
                <w:sz w:val="16"/>
              </w:rPr>
            </w:r>
            <w:r>
              <w:rPr>
                <w:b w:val="0"/>
                <w:sz w:val="16"/>
              </w:rPr>
              <w:t>Only selected workload protection modules are enabled or staged.</w:t>
            </w:r>
          </w:p>
        </w:tc>
      </w:tr>
      <w:tr>
        <w:trPr>
          <w:trHeight w:hRule="atLeast"/>
        </w:trPr>
        <w:tc>
          <w:tcPr>
            <w:tcW w:type="dxa" w:w="3168"/>
            <w:vAlign w:val="top"/>
            <w:tcMar>
              <w:top w:w="90" w:type="dxa"/>
              <w:start w:w="90" w:type="dxa"/>
              <w:bottom w:w="90" w:type="dxa"/>
              <w:end w:w="90" w:type="dxa"/>
            </w:tcMar>
          </w:tcPr>
          <w:p>
            <w:pPr>
              <w:spacing w:after="0"/>
            </w:pPr>
            <w:r>
              <w:rPr>
                <w:b/>
                <w:color w:val="122A44"/>
                <w:sz w:val="16"/>
              </w:rPr>
            </w:r>
            <w:r>
              <w:rPr>
                <w:b/>
                <w:color w:val="122A44"/>
                <w:sz w:val="16"/>
              </w:rPr>
              <w:t>Cost alerts configured</w:t>
            </w:r>
          </w:p>
        </w:tc>
        <w:tc>
          <w:tcPr>
            <w:tcW w:type="dxa" w:w="936"/>
            <w:vAlign w:val="top"/>
            <w:tcMar>
              <w:top w:w="90" w:type="dxa"/>
              <w:start w:w="90" w:type="dxa"/>
              <w:bottom w:w="90" w:type="dxa"/>
              <w:end w:w="90" w:type="dxa"/>
            </w:tcMar>
          </w:tcPr>
          <w:p>
            <w:pPr>
              <w:spacing w:after="0"/>
            </w:pPr>
            <w:r>
              <w:rPr>
                <w:sz w:val="16"/>
              </w:rPr>
            </w:r>
            <w:r>
              <w:rPr>
                <w:b w:val="0"/>
                <w:sz w:val="16"/>
              </w:rPr>
              <w:t>[ ]</w:t>
            </w:r>
          </w:p>
        </w:tc>
        <w:tc>
          <w:tcPr>
            <w:tcW w:type="dxa" w:w="6552"/>
            <w:vAlign w:val="top"/>
            <w:tcMar>
              <w:top w:w="90" w:type="dxa"/>
              <w:start w:w="90" w:type="dxa"/>
              <w:bottom w:w="90" w:type="dxa"/>
              <w:end w:w="90" w:type="dxa"/>
            </w:tcMar>
          </w:tcPr>
          <w:p>
            <w:pPr>
              <w:spacing w:after="0"/>
            </w:pPr>
            <w:r>
              <w:rPr>
                <w:sz w:val="16"/>
              </w:rPr>
            </w:r>
            <w:r>
              <w:rPr>
                <w:b w:val="0"/>
                <w:sz w:val="16"/>
              </w:rPr>
              <w:t>Budget alerts or spend monitoring configured.</w:t>
            </w:r>
          </w:p>
        </w:tc>
      </w:tr>
      <w:tr>
        <w:trPr>
          <w:trHeight w:hRule="atLeast"/>
        </w:trPr>
        <w:tc>
          <w:tcPr>
            <w:tcW w:type="dxa" w:w="3168"/>
            <w:vAlign w:val="top"/>
            <w:tcMar>
              <w:top w:w="90" w:type="dxa"/>
              <w:start w:w="90" w:type="dxa"/>
              <w:bottom w:w="90" w:type="dxa"/>
              <w:end w:w="90" w:type="dxa"/>
            </w:tcMar>
            <w:shd w:fill="FAFCFE"/>
          </w:tcPr>
          <w:p>
            <w:pPr>
              <w:spacing w:after="0"/>
            </w:pPr>
            <w:r>
              <w:rPr>
                <w:b/>
                <w:color w:val="122A44"/>
                <w:sz w:val="16"/>
              </w:rPr>
            </w:r>
            <w:r>
              <w:rPr>
                <w:b/>
                <w:color w:val="122A44"/>
                <w:sz w:val="16"/>
              </w:rPr>
              <w:t>Lab resources staged</w:t>
            </w:r>
          </w:p>
        </w:tc>
        <w:tc>
          <w:tcPr>
            <w:tcW w:type="dxa" w:w="936"/>
            <w:vAlign w:val="top"/>
            <w:tcMar>
              <w:top w:w="90" w:type="dxa"/>
              <w:start w:w="90" w:type="dxa"/>
              <w:bottom w:w="90" w:type="dxa"/>
              <w:end w:w="90" w:type="dxa"/>
            </w:tcMar>
            <w:shd w:fill="FAFCFE"/>
          </w:tcPr>
          <w:p>
            <w:pPr>
              <w:spacing w:after="0"/>
            </w:pPr>
            <w:r>
              <w:rPr>
                <w:sz w:val="16"/>
              </w:rPr>
            </w:r>
            <w:r>
              <w:rPr>
                <w:b w:val="0"/>
                <w:sz w:val="16"/>
              </w:rPr>
              <w:t>[ ]</w:t>
            </w:r>
          </w:p>
        </w:tc>
        <w:tc>
          <w:tcPr>
            <w:tcW w:type="dxa" w:w="6552"/>
            <w:vAlign w:val="top"/>
            <w:tcMar>
              <w:top w:w="90" w:type="dxa"/>
              <w:start w:w="90" w:type="dxa"/>
              <w:bottom w:w="90" w:type="dxa"/>
              <w:end w:w="90" w:type="dxa"/>
            </w:tcMar>
            <w:shd w:fill="FAFCFE"/>
          </w:tcPr>
          <w:p>
            <w:pPr>
              <w:spacing w:after="0"/>
            </w:pPr>
            <w:r>
              <w:rPr>
                <w:sz w:val="16"/>
              </w:rPr>
            </w:r>
            <w:r>
              <w:rPr>
                <w:b w:val="0"/>
                <w:sz w:val="16"/>
              </w:rPr>
              <w:t>Storage/App Service/AKS/AI resources staged where needed.</w:t>
            </w:r>
          </w:p>
        </w:tc>
      </w:tr>
      <w:tr>
        <w:trPr>
          <w:trHeight w:hRule="atLeast"/>
        </w:trPr>
        <w:tc>
          <w:tcPr>
            <w:tcW w:type="dxa" w:w="3168"/>
            <w:vAlign w:val="top"/>
            <w:tcMar>
              <w:top w:w="90" w:type="dxa"/>
              <w:start w:w="90" w:type="dxa"/>
              <w:bottom w:w="90" w:type="dxa"/>
              <w:end w:w="90" w:type="dxa"/>
            </w:tcMar>
          </w:tcPr>
          <w:p>
            <w:pPr>
              <w:spacing w:after="0"/>
            </w:pPr>
            <w:r>
              <w:rPr>
                <w:b/>
                <w:color w:val="122A44"/>
                <w:sz w:val="16"/>
              </w:rPr>
            </w:r>
            <w:r>
              <w:rPr>
                <w:b/>
                <w:color w:val="122A44"/>
                <w:sz w:val="16"/>
              </w:rPr>
              <w:t>Safety briefing ready</w:t>
            </w:r>
          </w:p>
        </w:tc>
        <w:tc>
          <w:tcPr>
            <w:tcW w:type="dxa" w:w="936"/>
            <w:vAlign w:val="top"/>
            <w:tcMar>
              <w:top w:w="90" w:type="dxa"/>
              <w:start w:w="90" w:type="dxa"/>
              <w:bottom w:w="90" w:type="dxa"/>
              <w:end w:w="90" w:type="dxa"/>
            </w:tcMar>
          </w:tcPr>
          <w:p>
            <w:pPr>
              <w:spacing w:after="0"/>
            </w:pPr>
            <w:r>
              <w:rPr>
                <w:sz w:val="16"/>
              </w:rPr>
            </w:r>
            <w:r>
              <w:rPr>
                <w:b w:val="0"/>
                <w:sz w:val="16"/>
              </w:rPr>
              <w:t>[ ]</w:t>
            </w:r>
          </w:p>
        </w:tc>
        <w:tc>
          <w:tcPr>
            <w:tcW w:type="dxa" w:w="6552"/>
            <w:vAlign w:val="top"/>
            <w:tcMar>
              <w:top w:w="90" w:type="dxa"/>
              <w:start w:w="90" w:type="dxa"/>
              <w:bottom w:w="90" w:type="dxa"/>
              <w:end w:w="90" w:type="dxa"/>
            </w:tcMar>
          </w:tcPr>
          <w:p>
            <w:pPr>
              <w:spacing w:after="0"/>
            </w:pPr>
            <w:r>
              <w:rPr>
                <w:sz w:val="16"/>
              </w:rPr>
            </w:r>
            <w:r>
              <w:rPr>
                <w:b w:val="0"/>
                <w:sz w:val="16"/>
              </w:rPr>
              <w:t>Student warnings and live-environment rules included in lab guide.</w:t>
            </w:r>
          </w:p>
        </w:tc>
      </w:tr>
      <w:tr>
        <w:trPr>
          <w:trHeight w:hRule="atLeast"/>
        </w:trPr>
        <w:tc>
          <w:tcPr>
            <w:tcW w:type="dxa" w:w="3168"/>
            <w:vAlign w:val="top"/>
            <w:tcMar>
              <w:top w:w="90" w:type="dxa"/>
              <w:start w:w="90" w:type="dxa"/>
              <w:bottom w:w="90" w:type="dxa"/>
              <w:end w:w="90" w:type="dxa"/>
            </w:tcMar>
            <w:shd w:fill="FAFCFE"/>
          </w:tcPr>
          <w:p>
            <w:pPr>
              <w:spacing w:after="0"/>
            </w:pPr>
            <w:r>
              <w:rPr>
                <w:b/>
                <w:color w:val="122A44"/>
                <w:sz w:val="16"/>
              </w:rPr>
            </w:r>
            <w:r>
              <w:rPr>
                <w:b/>
                <w:color w:val="122A44"/>
                <w:sz w:val="16"/>
              </w:rPr>
              <w:t>Cleanup plan ready</w:t>
            </w:r>
          </w:p>
        </w:tc>
        <w:tc>
          <w:tcPr>
            <w:tcW w:type="dxa" w:w="936"/>
            <w:vAlign w:val="top"/>
            <w:tcMar>
              <w:top w:w="90" w:type="dxa"/>
              <w:start w:w="90" w:type="dxa"/>
              <w:bottom w:w="90" w:type="dxa"/>
              <w:end w:w="90" w:type="dxa"/>
            </w:tcMar>
            <w:shd w:fill="FAFCFE"/>
          </w:tcPr>
          <w:p>
            <w:pPr>
              <w:spacing w:after="0"/>
            </w:pPr>
            <w:r>
              <w:rPr>
                <w:sz w:val="16"/>
              </w:rPr>
            </w:r>
            <w:r>
              <w:rPr>
                <w:b w:val="0"/>
                <w:sz w:val="16"/>
              </w:rPr>
              <w:t>[ ]</w:t>
            </w:r>
          </w:p>
        </w:tc>
        <w:tc>
          <w:tcPr>
            <w:tcW w:type="dxa" w:w="6552"/>
            <w:vAlign w:val="top"/>
            <w:tcMar>
              <w:top w:w="90" w:type="dxa"/>
              <w:start w:w="90" w:type="dxa"/>
              <w:bottom w:w="90" w:type="dxa"/>
              <w:end w:w="90" w:type="dxa"/>
            </w:tcMar>
            <w:shd w:fill="FAFCFE"/>
          </w:tcPr>
          <w:p>
            <w:pPr>
              <w:spacing w:after="0"/>
            </w:pPr>
            <w:r>
              <w:rPr>
                <w:sz w:val="16"/>
              </w:rPr>
            </w:r>
            <w:r>
              <w:rPr>
                <w:b w:val="0"/>
                <w:sz w:val="16"/>
              </w:rPr>
              <w:t>Resource deletion, plan disablement, permission removal, and spend review defined.</w:t>
            </w:r>
          </w:p>
        </w:tc>
      </w:tr>
    </w:tbl>
    <w:p/>
    <w:p>
      <w:pPr>
        <w:pStyle w:val="Heading1"/>
        <w:keepNext/>
      </w:pPr>
      <w:r>
        <w:rPr>
          <w:rFonts w:ascii="Aptos" w:hAnsi="Aptos" w:eastAsia="Aptos"/>
        </w:rPr>
        <w:t>9. Instructor Validation Checklist</w:t>
      </w:r>
    </w:p>
    <w:p>
      <w:pPr>
        <w:pStyle w:val="Heading2"/>
        <w:keepNext/>
      </w:pPr>
      <w:r>
        <w:rPr>
          <w:rFonts w:ascii="Aptos" w:hAnsi="Aptos" w:eastAsia="Aptos"/>
        </w:rPr>
        <w:t>9.1 Before class</w:t>
      </w:r>
    </w:p>
    <w:p>
      <w:pPr>
        <w:pStyle w:val="ListBullet"/>
        <w:spacing w:after="60"/>
      </w:pPr>
      <w:r>
        <w:rPr>
          <w:rFonts w:ascii="Aptos" w:hAnsi="Aptos" w:eastAsia="Aptos"/>
        </w:rPr>
        <w:t>[ ] Open Azure portal using instructor account.</w:t>
      </w:r>
    </w:p>
    <w:p>
      <w:pPr>
        <w:pStyle w:val="ListBullet"/>
        <w:spacing w:after="60"/>
      </w:pPr>
      <w:r>
        <w:rPr>
          <w:rFonts w:ascii="Aptos" w:hAnsi="Aptos" w:eastAsia="Aptos"/>
        </w:rPr>
        <w:t>[ ] Switch to the correct tenant/directory.</w:t>
      </w:r>
    </w:p>
    <w:p>
      <w:pPr>
        <w:pStyle w:val="ListBullet"/>
        <w:spacing w:after="60"/>
      </w:pPr>
      <w:r>
        <w:rPr>
          <w:rFonts w:ascii="Aptos" w:hAnsi="Aptos" w:eastAsia="Aptos"/>
        </w:rPr>
        <w:t>[ ] Open Microsoft Defender for Cloud.</w:t>
      </w:r>
    </w:p>
    <w:p>
      <w:pPr>
        <w:pStyle w:val="ListBullet"/>
        <w:spacing w:after="60"/>
      </w:pPr>
      <w:r>
        <w:rPr>
          <w:rFonts w:ascii="Aptos" w:hAnsi="Aptos" w:eastAsia="Aptos"/>
        </w:rPr>
        <w:t>[ ] Open Environment settings and verify subscription visibility.</w:t>
      </w:r>
    </w:p>
    <w:p>
      <w:pPr>
        <w:pStyle w:val="ListBullet"/>
        <w:spacing w:after="60"/>
      </w:pPr>
      <w:r>
        <w:rPr>
          <w:rFonts w:ascii="Aptos" w:hAnsi="Aptos" w:eastAsia="Aptos"/>
        </w:rPr>
        <w:t>[ ] Verify Secure Score, Recommendations, Inventory, Regulatory compliance, and Workbooks load.</w:t>
      </w:r>
    </w:p>
    <w:p>
      <w:pPr>
        <w:pStyle w:val="ListBullet"/>
        <w:spacing w:after="60"/>
      </w:pPr>
      <w:r>
        <w:rPr>
          <w:rFonts w:ascii="Aptos" w:hAnsi="Aptos" w:eastAsia="Aptos"/>
        </w:rPr>
        <w:t>[ ] Check whether selected Defender plans are off, on, or trial-enabled before delivery.</w:t>
      </w:r>
    </w:p>
    <w:p>
      <w:pPr>
        <w:pStyle w:val="ListBullet"/>
        <w:spacing w:after="60"/>
      </w:pPr>
      <w:r>
        <w:rPr>
          <w:rFonts w:ascii="Aptos" w:hAnsi="Aptos" w:eastAsia="Aptos"/>
        </w:rPr>
        <w:t>[ ] Confirm budget alerts and spending monitoring.</w:t>
      </w:r>
    </w:p>
    <w:p>
      <w:pPr>
        <w:pStyle w:val="ListBullet"/>
        <w:spacing w:after="60"/>
      </w:pPr>
      <w:r>
        <w:rPr>
          <w:rFonts w:ascii="Aptos" w:hAnsi="Aptos" w:eastAsia="Aptos"/>
        </w:rPr>
        <w:t>[ ] Confirm student role assignments at correct scope.</w:t>
      </w:r>
    </w:p>
    <w:p>
      <w:pPr>
        <w:pStyle w:val="ListBullet"/>
        <w:spacing w:after="60"/>
      </w:pPr>
      <w:r>
        <w:rPr>
          <w:rFonts w:ascii="Aptos" w:hAnsi="Aptos" w:eastAsia="Aptos"/>
        </w:rPr>
        <w:t>[ ] Verify sample resources exist or can be created.</w:t>
      </w:r>
    </w:p>
    <w:p>
      <w:pPr>
        <w:pStyle w:val="ListBullet"/>
        <w:spacing w:after="60"/>
      </w:pPr>
      <w:r>
        <w:rPr>
          <w:rFonts w:ascii="Aptos" w:hAnsi="Aptos" w:eastAsia="Aptos"/>
        </w:rPr>
        <w:t>[ ] Open all lab links from the course site or lab guide.</w:t>
      </w:r>
    </w:p>
    <w:p>
      <w:pPr>
        <w:pStyle w:val="Heading2"/>
        <w:keepNext/>
      </w:pPr>
      <w:r>
        <w:rPr>
          <w:rFonts w:ascii="Aptos" w:hAnsi="Aptos" w:eastAsia="Aptos"/>
        </w:rPr>
        <w:t>9.2 During class</w:t>
      </w:r>
    </w:p>
    <w:p>
      <w:pPr>
        <w:pStyle w:val="ListBullet"/>
        <w:spacing w:after="60"/>
      </w:pPr>
      <w:r>
        <w:rPr>
          <w:rFonts w:ascii="Aptos" w:hAnsi="Aptos" w:eastAsia="Aptos"/>
        </w:rPr>
        <w:t>[ ] Remind students which subscription and resource group are in scope.</w:t>
      </w:r>
    </w:p>
    <w:p>
      <w:pPr>
        <w:pStyle w:val="ListBullet"/>
        <w:spacing w:after="60"/>
      </w:pPr>
      <w:r>
        <w:rPr>
          <w:rFonts w:ascii="Aptos" w:hAnsi="Aptos" w:eastAsia="Aptos"/>
        </w:rPr>
        <w:t>[ ] Prohibit real data uploads and sensitive AI prompts.</w:t>
      </w:r>
    </w:p>
    <w:p>
      <w:pPr>
        <w:pStyle w:val="ListBullet"/>
        <w:spacing w:after="60"/>
      </w:pPr>
      <w:r>
        <w:rPr>
          <w:rFonts w:ascii="Aptos" w:hAnsi="Aptos" w:eastAsia="Aptos"/>
        </w:rPr>
        <w:t>[ ] Confirm before enabling any paid plan or changing environment settings.</w:t>
      </w:r>
    </w:p>
    <w:p>
      <w:pPr>
        <w:pStyle w:val="ListBullet"/>
        <w:spacing w:after="60"/>
      </w:pPr>
      <w:r>
        <w:rPr>
          <w:rFonts w:ascii="Aptos" w:hAnsi="Aptos" w:eastAsia="Aptos"/>
        </w:rPr>
        <w:t>[ ] Pause before production-impacting actions and require instructor approval.</w:t>
      </w:r>
    </w:p>
    <w:p>
      <w:pPr>
        <w:pStyle w:val="ListBullet"/>
        <w:spacing w:after="60"/>
      </w:pPr>
      <w:r>
        <w:rPr>
          <w:rFonts w:ascii="Aptos" w:hAnsi="Aptos" w:eastAsia="Aptos"/>
        </w:rPr>
        <w:t>[ ] Capture screenshots for evidence-based lab submission.</w:t>
      </w:r>
    </w:p>
    <w:p>
      <w:pPr>
        <w:pStyle w:val="ListBullet"/>
        <w:spacing w:after="60"/>
      </w:pPr>
      <w:r>
        <w:rPr>
          <w:rFonts w:ascii="Aptos" w:hAnsi="Aptos" w:eastAsia="Aptos"/>
        </w:rPr>
        <w:t>[ ] Track blockers and remediation friction points for course improvement.</w:t>
      </w:r>
    </w:p>
    <w:p>
      <w:pPr>
        <w:pStyle w:val="Heading1"/>
        <w:keepNext/>
      </w:pPr>
      <w:r>
        <w:rPr>
          <w:rFonts w:ascii="Aptos" w:hAnsi="Aptos" w:eastAsia="Aptos"/>
        </w:rPr>
        <w:t>10. Cleanup and Closure Checklist</w:t>
      </w:r>
    </w:p>
    <w:tbl>
      <w:tblPr>
        <w:tblStyle w:val="TableGrid"/>
        <w:tblW w:type="auto" w:w="0"/>
        <w:jc w:val="center"/>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12"/>
        <w:gridCol w:w="5112"/>
      </w:tblGrid>
      <w:tr>
        <w:trPr>
          <w:trHeight w:hRule="atLeast"/>
          <w:tblHeader w:val="true"/>
        </w:trPr>
        <w:tc>
          <w:tcPr>
            <w:tcW w:type="dxa" w:w="2880"/>
            <w:shd w:fill="005A9C"/>
            <w:vAlign w:val="top"/>
            <w:tcMar>
              <w:top w:w="90" w:type="dxa"/>
              <w:start w:w="90" w:type="dxa"/>
              <w:bottom w:w="90" w:type="dxa"/>
              <w:end w:w="90" w:type="dxa"/>
            </w:tcMar>
          </w:tcPr>
          <w:p>
            <w:pPr>
              <w:spacing w:after="0"/>
            </w:pPr>
            <w:r>
              <w:rPr>
                <w:b/>
                <w:color w:val="FFFFFF"/>
                <w:sz w:val="17"/>
              </w:rPr>
            </w:r>
            <w:r>
              <w:rPr>
                <w:b/>
                <w:color w:val="FFFFFF"/>
                <w:sz w:val="17"/>
              </w:rPr>
              <w:t>Cleanup Area</w:t>
            </w:r>
          </w:p>
        </w:tc>
        <w:tc>
          <w:tcPr>
            <w:tcW w:type="dxa" w:w="7776"/>
            <w:shd w:fill="005A9C"/>
            <w:vAlign w:val="top"/>
            <w:tcMar>
              <w:top w:w="90" w:type="dxa"/>
              <w:start w:w="90" w:type="dxa"/>
              <w:bottom w:w="90" w:type="dxa"/>
              <w:end w:w="90" w:type="dxa"/>
            </w:tcMar>
          </w:tcPr>
          <w:p>
            <w:pPr>
              <w:spacing w:after="0"/>
            </w:pPr>
            <w:r>
              <w:rPr>
                <w:b/>
                <w:color w:val="FFFFFF"/>
                <w:sz w:val="17"/>
              </w:rPr>
            </w:r>
            <w:r>
              <w:rPr>
                <w:b/>
                <w:color w:val="FFFFFF"/>
                <w:sz w:val="17"/>
              </w:rPr>
              <w:t>Action</w:t>
            </w:r>
          </w:p>
        </w:tc>
      </w:tr>
      <w:tr>
        <w:trPr>
          <w:trHeight w:hRule="atLeast"/>
        </w:trPr>
        <w:tc>
          <w:tcPr>
            <w:tcW w:type="dxa" w:w="2880"/>
            <w:vAlign w:val="top"/>
            <w:tcMar>
              <w:top w:w="90" w:type="dxa"/>
              <w:start w:w="90" w:type="dxa"/>
              <w:bottom w:w="90" w:type="dxa"/>
              <w:end w:w="90" w:type="dxa"/>
            </w:tcMar>
          </w:tcPr>
          <w:p>
            <w:pPr>
              <w:spacing w:after="0"/>
            </w:pPr>
            <w:r>
              <w:rPr>
                <w:b/>
                <w:color w:val="122A44"/>
                <w:sz w:val="17"/>
              </w:rPr>
            </w:r>
            <w:r>
              <w:rPr>
                <w:b/>
                <w:color w:val="122A44"/>
                <w:sz w:val="17"/>
              </w:rPr>
              <w:t>Lab resources</w:t>
            </w:r>
          </w:p>
        </w:tc>
        <w:tc>
          <w:tcPr>
            <w:tcW w:type="dxa" w:w="7776"/>
            <w:vAlign w:val="top"/>
            <w:tcMar>
              <w:top w:w="90" w:type="dxa"/>
              <w:start w:w="90" w:type="dxa"/>
              <w:bottom w:w="90" w:type="dxa"/>
              <w:end w:w="90" w:type="dxa"/>
            </w:tcMar>
          </w:tcPr>
          <w:p>
            <w:pPr>
              <w:spacing w:after="0"/>
            </w:pPr>
            <w:r>
              <w:rPr>
                <w:sz w:val="17"/>
              </w:rPr>
            </w:r>
            <w:r>
              <w:rPr>
                <w:b w:val="0"/>
                <w:sz w:val="17"/>
              </w:rPr>
              <w:t>Delete or stop sample resources, including storage accounts, app services, AKS clusters, registries, AI services, and test resources.</w:t>
            </w:r>
          </w:p>
        </w:tc>
      </w:tr>
      <w:tr>
        <w:trPr>
          <w:trHeight w:hRule="atLeast"/>
        </w:trPr>
        <w:tc>
          <w:tcPr>
            <w:tcW w:type="dxa" w:w="2880"/>
            <w:vAlign w:val="top"/>
            <w:tcMar>
              <w:top w:w="90" w:type="dxa"/>
              <w:start w:w="90" w:type="dxa"/>
              <w:bottom w:w="90" w:type="dxa"/>
              <w:end w:w="90" w:type="dxa"/>
            </w:tcMar>
            <w:shd w:fill="FAFCFE"/>
          </w:tcPr>
          <w:p>
            <w:pPr>
              <w:spacing w:after="0"/>
            </w:pPr>
            <w:r>
              <w:rPr>
                <w:b/>
                <w:color w:val="122A44"/>
                <w:sz w:val="17"/>
              </w:rPr>
            </w:r>
            <w:r>
              <w:rPr>
                <w:b/>
                <w:color w:val="122A44"/>
                <w:sz w:val="17"/>
              </w:rPr>
              <w:t>Defender plans</w:t>
            </w:r>
          </w:p>
        </w:tc>
        <w:tc>
          <w:tcPr>
            <w:tcW w:type="dxa" w:w="7776"/>
            <w:vAlign w:val="top"/>
            <w:tcMar>
              <w:top w:w="90" w:type="dxa"/>
              <w:start w:w="90" w:type="dxa"/>
              <w:bottom w:w="90" w:type="dxa"/>
              <w:end w:w="90" w:type="dxa"/>
            </w:tcMar>
            <w:shd w:fill="FAFCFE"/>
          </w:tcPr>
          <w:p>
            <w:pPr>
              <w:spacing w:after="0"/>
            </w:pPr>
            <w:r>
              <w:rPr>
                <w:sz w:val="17"/>
              </w:rPr>
            </w:r>
            <w:r>
              <w:rPr>
                <w:b w:val="0"/>
                <w:sz w:val="17"/>
              </w:rPr>
              <w:t>Disable paid plans that were enabled solely for training unless retained by customer approval.</w:t>
            </w:r>
          </w:p>
        </w:tc>
      </w:tr>
      <w:tr>
        <w:trPr>
          <w:trHeight w:hRule="atLeast"/>
        </w:trPr>
        <w:tc>
          <w:tcPr>
            <w:tcW w:type="dxa" w:w="2880"/>
            <w:vAlign w:val="top"/>
            <w:tcMar>
              <w:top w:w="90" w:type="dxa"/>
              <w:start w:w="90" w:type="dxa"/>
              <w:bottom w:w="90" w:type="dxa"/>
              <w:end w:w="90" w:type="dxa"/>
            </w:tcMar>
          </w:tcPr>
          <w:p>
            <w:pPr>
              <w:spacing w:after="0"/>
            </w:pPr>
            <w:r>
              <w:rPr>
                <w:b/>
                <w:color w:val="122A44"/>
                <w:sz w:val="17"/>
              </w:rPr>
            </w:r>
            <w:r>
              <w:rPr>
                <w:b/>
                <w:color w:val="122A44"/>
                <w:sz w:val="17"/>
              </w:rPr>
              <w:t>Role assignments</w:t>
            </w:r>
          </w:p>
        </w:tc>
        <w:tc>
          <w:tcPr>
            <w:tcW w:type="dxa" w:w="7776"/>
            <w:vAlign w:val="top"/>
            <w:tcMar>
              <w:top w:w="90" w:type="dxa"/>
              <w:start w:w="90" w:type="dxa"/>
              <w:bottom w:w="90" w:type="dxa"/>
              <w:end w:w="90" w:type="dxa"/>
            </w:tcMar>
          </w:tcPr>
          <w:p>
            <w:pPr>
              <w:spacing w:after="0"/>
            </w:pPr>
            <w:r>
              <w:rPr>
                <w:sz w:val="17"/>
              </w:rPr>
            </w:r>
            <w:r>
              <w:rPr>
                <w:b w:val="0"/>
                <w:sz w:val="17"/>
              </w:rPr>
              <w:t>Remove temporary Reader, Contributor, Security Admin, Owner, and PIM assignments.</w:t>
            </w:r>
          </w:p>
        </w:tc>
      </w:tr>
      <w:tr>
        <w:trPr>
          <w:trHeight w:hRule="atLeast"/>
        </w:trPr>
        <w:tc>
          <w:tcPr>
            <w:tcW w:type="dxa" w:w="2880"/>
            <w:vAlign w:val="top"/>
            <w:tcMar>
              <w:top w:w="90" w:type="dxa"/>
              <w:start w:w="90" w:type="dxa"/>
              <w:bottom w:w="90" w:type="dxa"/>
              <w:end w:w="90" w:type="dxa"/>
            </w:tcMar>
            <w:shd w:fill="FAFCFE"/>
          </w:tcPr>
          <w:p>
            <w:pPr>
              <w:spacing w:after="0"/>
            </w:pPr>
            <w:r>
              <w:rPr>
                <w:b/>
                <w:color w:val="122A44"/>
                <w:sz w:val="17"/>
              </w:rPr>
            </w:r>
            <w:r>
              <w:rPr>
                <w:b/>
                <w:color w:val="122A44"/>
                <w:sz w:val="17"/>
              </w:rPr>
              <w:t>Data</w:t>
            </w:r>
          </w:p>
        </w:tc>
        <w:tc>
          <w:tcPr>
            <w:tcW w:type="dxa" w:w="7776"/>
            <w:vAlign w:val="top"/>
            <w:tcMar>
              <w:top w:w="90" w:type="dxa"/>
              <w:start w:w="90" w:type="dxa"/>
              <w:bottom w:w="90" w:type="dxa"/>
              <w:end w:w="90" w:type="dxa"/>
            </w:tcMar>
            <w:shd w:fill="FAFCFE"/>
          </w:tcPr>
          <w:p>
            <w:pPr>
              <w:spacing w:after="0"/>
            </w:pPr>
            <w:r>
              <w:rPr>
                <w:sz w:val="17"/>
              </w:rPr>
            </w:r>
            <w:r>
              <w:rPr>
                <w:b w:val="0"/>
                <w:sz w:val="17"/>
              </w:rPr>
              <w:t>Delete test files and verify no sensitive data was uploaded.</w:t>
            </w:r>
          </w:p>
        </w:tc>
      </w:tr>
      <w:tr>
        <w:trPr>
          <w:trHeight w:hRule="atLeast"/>
        </w:trPr>
        <w:tc>
          <w:tcPr>
            <w:tcW w:type="dxa" w:w="2880"/>
            <w:vAlign w:val="top"/>
            <w:tcMar>
              <w:top w:w="90" w:type="dxa"/>
              <w:start w:w="90" w:type="dxa"/>
              <w:bottom w:w="90" w:type="dxa"/>
              <w:end w:w="90" w:type="dxa"/>
            </w:tcMar>
          </w:tcPr>
          <w:p>
            <w:pPr>
              <w:spacing w:after="0"/>
            </w:pPr>
            <w:r>
              <w:rPr>
                <w:b/>
                <w:color w:val="122A44"/>
                <w:sz w:val="17"/>
              </w:rPr>
            </w:r>
            <w:r>
              <w:rPr>
                <w:b/>
                <w:color w:val="122A44"/>
                <w:sz w:val="17"/>
              </w:rPr>
              <w:t>AI prompts</w:t>
            </w:r>
          </w:p>
        </w:tc>
        <w:tc>
          <w:tcPr>
            <w:tcW w:type="dxa" w:w="7776"/>
            <w:vAlign w:val="top"/>
            <w:tcMar>
              <w:top w:w="90" w:type="dxa"/>
              <w:start w:w="90" w:type="dxa"/>
              <w:bottom w:w="90" w:type="dxa"/>
              <w:end w:w="90" w:type="dxa"/>
            </w:tcMar>
          </w:tcPr>
          <w:p>
            <w:pPr>
              <w:spacing w:after="0"/>
            </w:pPr>
            <w:r>
              <w:rPr>
                <w:sz w:val="17"/>
              </w:rPr>
            </w:r>
            <w:r>
              <w:rPr>
                <w:b w:val="0"/>
                <w:sz w:val="17"/>
              </w:rPr>
              <w:t>Verify no confidential prompts or proprietary data were entered into AI labs.</w:t>
            </w:r>
          </w:p>
        </w:tc>
      </w:tr>
      <w:tr>
        <w:trPr>
          <w:trHeight w:hRule="atLeast"/>
        </w:trPr>
        <w:tc>
          <w:tcPr>
            <w:tcW w:type="dxa" w:w="2880"/>
            <w:vAlign w:val="top"/>
            <w:tcMar>
              <w:top w:w="90" w:type="dxa"/>
              <w:start w:w="90" w:type="dxa"/>
              <w:bottom w:w="90" w:type="dxa"/>
              <w:end w:w="90" w:type="dxa"/>
            </w:tcMar>
            <w:shd w:fill="FAFCFE"/>
          </w:tcPr>
          <w:p>
            <w:pPr>
              <w:spacing w:after="0"/>
            </w:pPr>
            <w:r>
              <w:rPr>
                <w:b/>
                <w:color w:val="122A44"/>
                <w:sz w:val="17"/>
              </w:rPr>
            </w:r>
            <w:r>
              <w:rPr>
                <w:b/>
                <w:color w:val="122A44"/>
                <w:sz w:val="17"/>
              </w:rPr>
              <w:t>Budget</w:t>
            </w:r>
          </w:p>
        </w:tc>
        <w:tc>
          <w:tcPr>
            <w:tcW w:type="dxa" w:w="7776"/>
            <w:vAlign w:val="top"/>
            <w:tcMar>
              <w:top w:w="90" w:type="dxa"/>
              <w:start w:w="90" w:type="dxa"/>
              <w:bottom w:w="90" w:type="dxa"/>
              <w:end w:w="90" w:type="dxa"/>
            </w:tcMar>
            <w:shd w:fill="FAFCFE"/>
          </w:tcPr>
          <w:p>
            <w:pPr>
              <w:spacing w:after="0"/>
            </w:pPr>
            <w:r>
              <w:rPr>
                <w:sz w:val="17"/>
              </w:rPr>
            </w:r>
            <w:r>
              <w:rPr>
                <w:b w:val="0"/>
                <w:sz w:val="17"/>
              </w:rPr>
              <w:t>Review actual spend and cost alerts.</w:t>
            </w:r>
          </w:p>
        </w:tc>
      </w:tr>
      <w:tr>
        <w:trPr>
          <w:trHeight w:hRule="atLeast"/>
        </w:trPr>
        <w:tc>
          <w:tcPr>
            <w:tcW w:type="dxa" w:w="2880"/>
            <w:vAlign w:val="top"/>
            <w:tcMar>
              <w:top w:w="90" w:type="dxa"/>
              <w:start w:w="90" w:type="dxa"/>
              <w:bottom w:w="90" w:type="dxa"/>
              <w:end w:w="90" w:type="dxa"/>
            </w:tcMar>
          </w:tcPr>
          <w:p>
            <w:pPr>
              <w:spacing w:after="0"/>
            </w:pPr>
            <w:r>
              <w:rPr>
                <w:b/>
                <w:color w:val="122A44"/>
                <w:sz w:val="17"/>
              </w:rPr>
            </w:r>
            <w:r>
              <w:rPr>
                <w:b/>
                <w:color w:val="122A44"/>
                <w:sz w:val="17"/>
              </w:rPr>
              <w:t>Evidence</w:t>
            </w:r>
          </w:p>
        </w:tc>
        <w:tc>
          <w:tcPr>
            <w:tcW w:type="dxa" w:w="7776"/>
            <w:vAlign w:val="top"/>
            <w:tcMar>
              <w:top w:w="90" w:type="dxa"/>
              <w:start w:w="90" w:type="dxa"/>
              <w:bottom w:w="90" w:type="dxa"/>
              <w:end w:w="90" w:type="dxa"/>
            </w:tcMar>
          </w:tcPr>
          <w:p>
            <w:pPr>
              <w:spacing w:after="0"/>
            </w:pPr>
            <w:r>
              <w:rPr>
                <w:sz w:val="17"/>
              </w:rPr>
            </w:r>
            <w:r>
              <w:rPr>
                <w:b w:val="0"/>
                <w:sz w:val="17"/>
              </w:rPr>
              <w:t>Collect student worksheets, screenshots, findings, and remediation plans.</w:t>
            </w:r>
          </w:p>
        </w:tc>
      </w:tr>
      <w:tr>
        <w:trPr>
          <w:trHeight w:hRule="atLeast"/>
        </w:trPr>
        <w:tc>
          <w:tcPr>
            <w:tcW w:type="dxa" w:w="2880"/>
            <w:vAlign w:val="top"/>
            <w:tcMar>
              <w:top w:w="90" w:type="dxa"/>
              <w:start w:w="90" w:type="dxa"/>
              <w:bottom w:w="90" w:type="dxa"/>
              <w:end w:w="90" w:type="dxa"/>
            </w:tcMar>
            <w:shd w:fill="FAFCFE"/>
          </w:tcPr>
          <w:p>
            <w:pPr>
              <w:spacing w:after="0"/>
            </w:pPr>
            <w:r>
              <w:rPr>
                <w:b/>
                <w:color w:val="122A44"/>
                <w:sz w:val="17"/>
              </w:rPr>
            </w:r>
            <w:r>
              <w:rPr>
                <w:b/>
                <w:color w:val="122A44"/>
                <w:sz w:val="17"/>
              </w:rPr>
              <w:t>Errata</w:t>
            </w:r>
          </w:p>
        </w:tc>
        <w:tc>
          <w:tcPr>
            <w:tcW w:type="dxa" w:w="7776"/>
            <w:vAlign w:val="top"/>
            <w:tcMar>
              <w:top w:w="90" w:type="dxa"/>
              <w:start w:w="90" w:type="dxa"/>
              <w:bottom w:w="90" w:type="dxa"/>
              <w:end w:w="90" w:type="dxa"/>
            </w:tcMar>
            <w:shd w:fill="FAFCFE"/>
          </w:tcPr>
          <w:p>
            <w:pPr>
              <w:spacing w:after="0"/>
            </w:pPr>
            <w:r>
              <w:rPr>
                <w:sz w:val="17"/>
              </w:rPr>
            </w:r>
            <w:r>
              <w:rPr>
                <w:b w:val="0"/>
                <w:sz w:val="17"/>
              </w:rPr>
              <w:t>Log portal changes, screenshot mismatches, broken links, and instruction issues.</w:t>
            </w:r>
          </w:p>
        </w:tc>
      </w:tr>
    </w:tbl>
    <w:p/>
    <w:p>
      <w:r>
        <w:rPr>
          <w:rFonts w:ascii="Aptos" w:hAnsi="Aptos" w:eastAsia="Aptos"/>
        </w:rPr>
        <w:br w:type="page"/>
      </w:r>
    </w:p>
    <w:p>
      <w:pPr>
        <w:pStyle w:val="Heading1"/>
        <w:keepNext/>
      </w:pPr>
      <w:r>
        <w:rPr>
          <w:rFonts w:ascii="Aptos" w:hAnsi="Aptos" w:eastAsia="Aptos"/>
        </w:rPr>
        <w:t>11. Recommended Official Standard for CESE323 ERC1.0</w:t>
      </w:r>
    </w:p>
    <w:tbl>
      <w:tblPr>
        <w:tblStyle w:val="TableGrid"/>
        <w:tblW w:type="auto" w:w="0"/>
        <w:jc w:val="center"/>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12"/>
        <w:gridCol w:w="5112"/>
      </w:tblGrid>
      <w:tr>
        <w:trPr>
          <w:trHeight w:hRule="atLeast"/>
          <w:tblHeader w:val="true"/>
        </w:trPr>
        <w:tc>
          <w:tcPr>
            <w:tcW w:type="dxa" w:w="2880"/>
            <w:shd w:fill="122A44"/>
            <w:vAlign w:val="top"/>
            <w:tcMar>
              <w:top w:w="90" w:type="dxa"/>
              <w:start w:w="90" w:type="dxa"/>
              <w:bottom w:w="90" w:type="dxa"/>
              <w:end w:w="90" w:type="dxa"/>
            </w:tcMar>
          </w:tcPr>
          <w:p>
            <w:pPr>
              <w:spacing w:after="0"/>
            </w:pPr>
            <w:r>
              <w:rPr>
                <w:b/>
                <w:color w:val="FFFFFF"/>
                <w:sz w:val="17"/>
              </w:rPr>
            </w:r>
            <w:r>
              <w:rPr>
                <w:b/>
                <w:color w:val="FFFFFF"/>
                <w:sz w:val="17"/>
              </w:rPr>
              <w:t>Area</w:t>
            </w:r>
          </w:p>
        </w:tc>
        <w:tc>
          <w:tcPr>
            <w:tcW w:type="dxa" w:w="7776"/>
            <w:shd w:fill="122A44"/>
            <w:vAlign w:val="top"/>
            <w:tcMar>
              <w:top w:w="90" w:type="dxa"/>
              <w:start w:w="90" w:type="dxa"/>
              <w:bottom w:w="90" w:type="dxa"/>
              <w:end w:w="90" w:type="dxa"/>
            </w:tcMar>
          </w:tcPr>
          <w:p>
            <w:pPr>
              <w:spacing w:after="0"/>
            </w:pPr>
            <w:r>
              <w:rPr>
                <w:b/>
                <w:color w:val="FFFFFF"/>
                <w:sz w:val="17"/>
              </w:rPr>
            </w:r>
            <w:r>
              <w:rPr>
                <w:b/>
                <w:color w:val="FFFFFF"/>
                <w:sz w:val="17"/>
              </w:rPr>
              <w:t>Standard</w:t>
            </w:r>
          </w:p>
        </w:tc>
      </w:tr>
      <w:tr>
        <w:trPr>
          <w:trHeight w:hRule="atLeast"/>
        </w:trPr>
        <w:tc>
          <w:tcPr>
            <w:tcW w:type="dxa" w:w="2880"/>
            <w:vAlign w:val="top"/>
            <w:tcMar>
              <w:top w:w="90" w:type="dxa"/>
              <w:start w:w="90" w:type="dxa"/>
              <w:bottom w:w="90" w:type="dxa"/>
              <w:end w:w="90" w:type="dxa"/>
            </w:tcMar>
          </w:tcPr>
          <w:p>
            <w:pPr>
              <w:spacing w:after="0"/>
            </w:pPr>
            <w:r>
              <w:rPr>
                <w:b/>
                <w:color w:val="122A44"/>
                <w:sz w:val="17"/>
              </w:rPr>
            </w:r>
            <w:r>
              <w:rPr>
                <w:b/>
                <w:color w:val="122A44"/>
                <w:sz w:val="17"/>
              </w:rPr>
              <w:t>Lab model</w:t>
            </w:r>
          </w:p>
        </w:tc>
        <w:tc>
          <w:tcPr>
            <w:tcW w:type="dxa" w:w="7776"/>
            <w:vAlign w:val="top"/>
            <w:tcMar>
              <w:top w:w="90" w:type="dxa"/>
              <w:start w:w="90" w:type="dxa"/>
              <w:bottom w:w="90" w:type="dxa"/>
              <w:end w:w="90" w:type="dxa"/>
            </w:tcMar>
          </w:tcPr>
          <w:p>
            <w:pPr>
              <w:spacing w:after="0"/>
            </w:pPr>
            <w:r>
              <w:rPr>
                <w:sz w:val="17"/>
              </w:rPr>
            </w:r>
            <w:r>
              <w:rPr>
                <w:b w:val="0"/>
                <w:sz w:val="17"/>
              </w:rPr>
              <w:t>Instructor-controlled Azure tenant with student-specific or team-specific resource groups.</w:t>
            </w:r>
          </w:p>
        </w:tc>
      </w:tr>
      <w:tr>
        <w:trPr>
          <w:trHeight w:hRule="atLeast"/>
        </w:trPr>
        <w:tc>
          <w:tcPr>
            <w:tcW w:type="dxa" w:w="2880"/>
            <w:vAlign w:val="top"/>
            <w:tcMar>
              <w:top w:w="90" w:type="dxa"/>
              <w:start w:w="90" w:type="dxa"/>
              <w:bottom w:w="90" w:type="dxa"/>
              <w:end w:w="90" w:type="dxa"/>
            </w:tcMar>
            <w:shd w:fill="FAFCFE"/>
          </w:tcPr>
          <w:p>
            <w:pPr>
              <w:spacing w:after="0"/>
            </w:pPr>
            <w:r>
              <w:rPr>
                <w:b/>
                <w:color w:val="122A44"/>
                <w:sz w:val="17"/>
              </w:rPr>
            </w:r>
            <w:r>
              <w:rPr>
                <w:b/>
                <w:color w:val="122A44"/>
                <w:sz w:val="17"/>
              </w:rPr>
              <w:t>Default access</w:t>
            </w:r>
          </w:p>
        </w:tc>
        <w:tc>
          <w:tcPr>
            <w:tcW w:type="dxa" w:w="7776"/>
            <w:vAlign w:val="top"/>
            <w:tcMar>
              <w:top w:w="90" w:type="dxa"/>
              <w:start w:w="90" w:type="dxa"/>
              <w:bottom w:w="90" w:type="dxa"/>
              <w:end w:w="90" w:type="dxa"/>
            </w:tcMar>
            <w:shd w:fill="FAFCFE"/>
          </w:tcPr>
          <w:p>
            <w:pPr>
              <w:spacing w:after="0"/>
            </w:pPr>
            <w:r>
              <w:rPr>
                <w:sz w:val="17"/>
              </w:rPr>
            </w:r>
            <w:r>
              <w:rPr>
                <w:b w:val="0"/>
                <w:sz w:val="17"/>
              </w:rPr>
              <w:t>Reader for students.</w:t>
            </w:r>
          </w:p>
        </w:tc>
      </w:tr>
      <w:tr>
        <w:trPr>
          <w:trHeight w:hRule="atLeast"/>
        </w:trPr>
        <w:tc>
          <w:tcPr>
            <w:tcW w:type="dxa" w:w="2880"/>
            <w:vAlign w:val="top"/>
            <w:tcMar>
              <w:top w:w="90" w:type="dxa"/>
              <w:start w:w="90" w:type="dxa"/>
              <w:bottom w:w="90" w:type="dxa"/>
              <w:end w:w="90" w:type="dxa"/>
            </w:tcMar>
          </w:tcPr>
          <w:p>
            <w:pPr>
              <w:spacing w:after="0"/>
            </w:pPr>
            <w:r>
              <w:rPr>
                <w:b/>
                <w:color w:val="122A44"/>
                <w:sz w:val="17"/>
              </w:rPr>
            </w:r>
            <w:r>
              <w:rPr>
                <w:b/>
                <w:color w:val="122A44"/>
                <w:sz w:val="17"/>
              </w:rPr>
              <w:t>Hands-on access</w:t>
            </w:r>
          </w:p>
        </w:tc>
        <w:tc>
          <w:tcPr>
            <w:tcW w:type="dxa" w:w="7776"/>
            <w:vAlign w:val="top"/>
            <w:tcMar>
              <w:top w:w="90" w:type="dxa"/>
              <w:start w:w="90" w:type="dxa"/>
              <w:bottom w:w="90" w:type="dxa"/>
              <w:end w:w="90" w:type="dxa"/>
            </w:tcMar>
          </w:tcPr>
          <w:p>
            <w:pPr>
              <w:spacing w:after="0"/>
            </w:pPr>
            <w:r>
              <w:rPr>
                <w:sz w:val="17"/>
              </w:rPr>
            </w:r>
            <w:r>
              <w:rPr>
                <w:b w:val="0"/>
                <w:sz w:val="17"/>
              </w:rPr>
              <w:t>Contributor only on assigned resource group.</w:t>
            </w:r>
          </w:p>
        </w:tc>
      </w:tr>
      <w:tr>
        <w:trPr>
          <w:trHeight w:hRule="atLeast"/>
        </w:trPr>
        <w:tc>
          <w:tcPr>
            <w:tcW w:type="dxa" w:w="2880"/>
            <w:vAlign w:val="top"/>
            <w:tcMar>
              <w:top w:w="90" w:type="dxa"/>
              <w:start w:w="90" w:type="dxa"/>
              <w:bottom w:w="90" w:type="dxa"/>
              <w:end w:w="90" w:type="dxa"/>
            </w:tcMar>
            <w:shd w:fill="FAFCFE"/>
          </w:tcPr>
          <w:p>
            <w:pPr>
              <w:spacing w:after="0"/>
            </w:pPr>
            <w:r>
              <w:rPr>
                <w:b/>
                <w:color w:val="122A44"/>
                <w:sz w:val="17"/>
              </w:rPr>
            </w:r>
            <w:r>
              <w:rPr>
                <w:b/>
                <w:color w:val="122A44"/>
                <w:sz w:val="17"/>
              </w:rPr>
              <w:t>Administrative access</w:t>
            </w:r>
          </w:p>
        </w:tc>
        <w:tc>
          <w:tcPr>
            <w:tcW w:type="dxa" w:w="7776"/>
            <w:vAlign w:val="top"/>
            <w:tcMar>
              <w:top w:w="90" w:type="dxa"/>
              <w:start w:w="90" w:type="dxa"/>
              <w:bottom w:w="90" w:type="dxa"/>
              <w:end w:w="90" w:type="dxa"/>
            </w:tcMar>
            <w:shd w:fill="FAFCFE"/>
          </w:tcPr>
          <w:p>
            <w:pPr>
              <w:spacing w:after="0"/>
            </w:pPr>
            <w:r>
              <w:rPr>
                <w:sz w:val="17"/>
              </w:rPr>
            </w:r>
            <w:r>
              <w:rPr>
                <w:b w:val="0"/>
                <w:sz w:val="17"/>
              </w:rPr>
              <w:t>Security Admin/Owner reserved for instructor or lab lead.</w:t>
            </w:r>
          </w:p>
        </w:tc>
      </w:tr>
      <w:tr>
        <w:trPr>
          <w:trHeight w:hRule="atLeast"/>
        </w:trPr>
        <w:tc>
          <w:tcPr>
            <w:tcW w:type="dxa" w:w="2880"/>
            <w:vAlign w:val="top"/>
            <w:tcMar>
              <w:top w:w="90" w:type="dxa"/>
              <w:start w:w="90" w:type="dxa"/>
              <w:bottom w:w="90" w:type="dxa"/>
              <w:end w:w="90" w:type="dxa"/>
            </w:tcMar>
          </w:tcPr>
          <w:p>
            <w:pPr>
              <w:spacing w:after="0"/>
            </w:pPr>
            <w:r>
              <w:rPr>
                <w:b/>
                <w:color w:val="122A44"/>
                <w:sz w:val="17"/>
              </w:rPr>
            </w:r>
            <w:r>
              <w:rPr>
                <w:b/>
                <w:color w:val="122A44"/>
                <w:sz w:val="17"/>
              </w:rPr>
              <w:t>Workload modules</w:t>
            </w:r>
          </w:p>
        </w:tc>
        <w:tc>
          <w:tcPr>
            <w:tcW w:type="dxa" w:w="7776"/>
            <w:vAlign w:val="top"/>
            <w:tcMar>
              <w:top w:w="90" w:type="dxa"/>
              <w:start w:w="90" w:type="dxa"/>
              <w:bottom w:w="90" w:type="dxa"/>
              <w:end w:w="90" w:type="dxa"/>
            </w:tcMar>
          </w:tcPr>
          <w:p>
            <w:pPr>
              <w:spacing w:after="0"/>
            </w:pPr>
            <w:r>
              <w:rPr>
                <w:sz w:val="17"/>
              </w:rPr>
            </w:r>
            <w:r>
              <w:rPr>
                <w:b w:val="0"/>
                <w:sz w:val="17"/>
              </w:rPr>
              <w:t>Choose only two live hands-on workload modules for one-day delivery.</w:t>
            </w:r>
          </w:p>
        </w:tc>
      </w:tr>
      <w:tr>
        <w:trPr>
          <w:trHeight w:hRule="atLeast"/>
        </w:trPr>
        <w:tc>
          <w:tcPr>
            <w:tcW w:type="dxa" w:w="2880"/>
            <w:vAlign w:val="top"/>
            <w:tcMar>
              <w:top w:w="90" w:type="dxa"/>
              <w:start w:w="90" w:type="dxa"/>
              <w:bottom w:w="90" w:type="dxa"/>
              <w:end w:w="90" w:type="dxa"/>
            </w:tcMar>
            <w:shd w:fill="FAFCFE"/>
          </w:tcPr>
          <w:p>
            <w:pPr>
              <w:spacing w:after="0"/>
            </w:pPr>
            <w:r>
              <w:rPr>
                <w:b/>
                <w:color w:val="122A44"/>
                <w:sz w:val="17"/>
              </w:rPr>
            </w:r>
            <w:r>
              <w:rPr>
                <w:b/>
                <w:color w:val="122A44"/>
                <w:sz w:val="17"/>
              </w:rPr>
              <w:t>AI labs</w:t>
            </w:r>
          </w:p>
        </w:tc>
        <w:tc>
          <w:tcPr>
            <w:tcW w:type="dxa" w:w="7776"/>
            <w:vAlign w:val="top"/>
            <w:tcMar>
              <w:top w:w="90" w:type="dxa"/>
              <w:start w:w="90" w:type="dxa"/>
              <w:bottom w:w="90" w:type="dxa"/>
              <w:end w:w="90" w:type="dxa"/>
            </w:tcMar>
            <w:shd w:fill="FAFCFE"/>
          </w:tcPr>
          <w:p>
            <w:pPr>
              <w:spacing w:after="0"/>
            </w:pPr>
            <w:r>
              <w:rPr>
                <w:sz w:val="17"/>
              </w:rPr>
            </w:r>
            <w:r>
              <w:rPr>
                <w:b w:val="0"/>
                <w:sz w:val="17"/>
              </w:rPr>
              <w:t>Use demo or controlled sandbox unless Azure AI access, cost approval, and data governance are ready.</w:t>
            </w:r>
          </w:p>
        </w:tc>
      </w:tr>
      <w:tr>
        <w:trPr>
          <w:trHeight w:hRule="atLeast"/>
        </w:trPr>
        <w:tc>
          <w:tcPr>
            <w:tcW w:type="dxa" w:w="2880"/>
            <w:vAlign w:val="top"/>
            <w:tcMar>
              <w:top w:w="90" w:type="dxa"/>
              <w:start w:w="90" w:type="dxa"/>
              <w:bottom w:w="90" w:type="dxa"/>
              <w:end w:w="90" w:type="dxa"/>
            </w:tcMar>
          </w:tcPr>
          <w:p>
            <w:pPr>
              <w:spacing w:after="0"/>
            </w:pPr>
            <w:r>
              <w:rPr>
                <w:b/>
                <w:color w:val="122A44"/>
                <w:sz w:val="17"/>
              </w:rPr>
            </w:r>
            <w:r>
              <w:rPr>
                <w:b/>
                <w:color w:val="122A44"/>
                <w:sz w:val="17"/>
              </w:rPr>
              <w:t>Production tenant</w:t>
            </w:r>
          </w:p>
        </w:tc>
        <w:tc>
          <w:tcPr>
            <w:tcW w:type="dxa" w:w="7776"/>
            <w:vAlign w:val="top"/>
            <w:tcMar>
              <w:top w:w="90" w:type="dxa"/>
              <w:start w:w="90" w:type="dxa"/>
              <w:bottom w:w="90" w:type="dxa"/>
              <w:end w:w="90" w:type="dxa"/>
            </w:tcMar>
          </w:tcPr>
          <w:p>
            <w:pPr>
              <w:spacing w:after="0"/>
            </w:pPr>
            <w:r>
              <w:rPr>
                <w:sz w:val="17"/>
              </w:rPr>
            </w:r>
            <w:r>
              <w:rPr>
                <w:b w:val="0"/>
                <w:sz w:val="17"/>
              </w:rPr>
              <w:t>Read-only review unless written change approval exists.</w:t>
            </w:r>
          </w:p>
        </w:tc>
      </w:tr>
      <w:tr>
        <w:trPr>
          <w:trHeight w:hRule="atLeast"/>
        </w:trPr>
        <w:tc>
          <w:tcPr>
            <w:tcW w:type="dxa" w:w="2880"/>
            <w:vAlign w:val="top"/>
            <w:tcMar>
              <w:top w:w="90" w:type="dxa"/>
              <w:start w:w="90" w:type="dxa"/>
              <w:bottom w:w="90" w:type="dxa"/>
              <w:end w:w="90" w:type="dxa"/>
            </w:tcMar>
            <w:shd w:fill="FAFCFE"/>
          </w:tcPr>
          <w:p>
            <w:pPr>
              <w:spacing w:after="0"/>
            </w:pPr>
            <w:r>
              <w:rPr>
                <w:b/>
                <w:color w:val="122A44"/>
                <w:sz w:val="17"/>
              </w:rPr>
            </w:r>
            <w:r>
              <w:rPr>
                <w:b/>
                <w:color w:val="122A44"/>
                <w:sz w:val="17"/>
              </w:rPr>
              <w:t>Cost control</w:t>
            </w:r>
          </w:p>
        </w:tc>
        <w:tc>
          <w:tcPr>
            <w:tcW w:type="dxa" w:w="7776"/>
            <w:vAlign w:val="top"/>
            <w:tcMar>
              <w:top w:w="90" w:type="dxa"/>
              <w:start w:w="90" w:type="dxa"/>
              <w:bottom w:w="90" w:type="dxa"/>
              <w:end w:w="90" w:type="dxa"/>
            </w:tcMar>
            <w:shd w:fill="FAFCFE"/>
          </w:tcPr>
          <w:p>
            <w:pPr>
              <w:spacing w:after="0"/>
            </w:pPr>
            <w:r>
              <w:rPr>
                <w:sz w:val="17"/>
              </w:rPr>
            </w:r>
            <w:r>
              <w:rPr>
                <w:b w:val="0"/>
                <w:sz w:val="17"/>
              </w:rPr>
              <w:t>Budget alerts, scoped plan enablement, and mandatory cleanup.</w:t>
            </w:r>
          </w:p>
        </w:tc>
      </w:tr>
      <w:tr>
        <w:trPr>
          <w:trHeight w:hRule="atLeast"/>
        </w:trPr>
        <w:tc>
          <w:tcPr>
            <w:tcW w:type="dxa" w:w="2880"/>
            <w:vAlign w:val="top"/>
            <w:tcMar>
              <w:top w:w="90" w:type="dxa"/>
              <w:start w:w="90" w:type="dxa"/>
              <w:bottom w:w="90" w:type="dxa"/>
              <w:end w:w="90" w:type="dxa"/>
            </w:tcMar>
          </w:tcPr>
          <w:p>
            <w:pPr>
              <w:spacing w:after="0"/>
            </w:pPr>
            <w:r>
              <w:rPr>
                <w:b/>
                <w:color w:val="122A44"/>
                <w:sz w:val="17"/>
              </w:rPr>
            </w:r>
            <w:r>
              <w:rPr>
                <w:b/>
                <w:color w:val="122A44"/>
                <w:sz w:val="17"/>
              </w:rPr>
              <w:t>Cleanup</w:t>
            </w:r>
          </w:p>
        </w:tc>
        <w:tc>
          <w:tcPr>
            <w:tcW w:type="dxa" w:w="7776"/>
            <w:vAlign w:val="top"/>
            <w:tcMar>
              <w:top w:w="90" w:type="dxa"/>
              <w:start w:w="90" w:type="dxa"/>
              <w:bottom w:w="90" w:type="dxa"/>
              <w:end w:w="90" w:type="dxa"/>
            </w:tcMar>
          </w:tcPr>
          <w:p>
            <w:pPr>
              <w:spacing w:after="0"/>
            </w:pPr>
            <w:r>
              <w:rPr>
                <w:sz w:val="17"/>
              </w:rPr>
            </w:r>
            <w:r>
              <w:rPr>
                <w:b w:val="0"/>
                <w:sz w:val="17"/>
              </w:rPr>
              <w:t>Remove temporary roles, delete resources, stop paid services, and review spend.</w:t>
            </w:r>
          </w:p>
        </w:tc>
      </w:tr>
    </w:tbl>
    <w:p/>
    <w:p>
      <w:pPr>
        <w:pStyle w:val="Heading1"/>
        <w:keepNext/>
      </w:pPr>
      <w:r>
        <w:rPr>
          <w:rFonts w:ascii="Aptos" w:hAnsi="Aptos" w:eastAsia="Aptos"/>
        </w:rPr>
        <w:t>References and Source Basis</w:t>
      </w:r>
    </w:p>
    <w:p>
      <w:r>
        <w:rPr>
          <w:rFonts w:ascii="Aptos" w:hAnsi="Aptos" w:eastAsia="Aptos"/>
          <w:b/>
        </w:rPr>
        <w:t xml:space="preserve">Course source basis. </w:t>
      </w:r>
      <w:r>
        <w:rPr>
          <w:rFonts w:ascii="Aptos" w:hAnsi="Aptos" w:eastAsia="Aptos"/>
        </w:rPr>
        <w:t>This lab planning guide is based on the CESE323 workshop syllabus, Microsoft Learn collection context, and the student pre-course readiness requirements prepared for CESE323 ERC1.0.</w:t>
      </w:r>
    </w:p>
    <w:tbl>
      <w:tblPr>
        <w:tblStyle w:val="TableGrid"/>
        <w:tblW w:type="auto" w:w="0"/>
        <w:jc w:val="center"/>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3408"/>
        <w:gridCol w:w="3408"/>
        <w:gridCol w:w="3408"/>
      </w:tblGrid>
      <w:tr>
        <w:trPr>
          <w:trHeight w:hRule="atLeast"/>
          <w:tblHeader w:val="true"/>
        </w:trPr>
        <w:tc>
          <w:tcPr>
            <w:tcW w:type="dxa" w:w="3408"/>
            <w:shd w:fill="122A44"/>
            <w:vAlign w:val="top"/>
            <w:tcMar>
              <w:top w:w="90" w:type="dxa"/>
              <w:start w:w="90" w:type="dxa"/>
              <w:bottom w:w="90" w:type="dxa"/>
              <w:end w:w="90" w:type="dxa"/>
            </w:tcMar>
          </w:tcPr>
          <w:p>
            <w:pPr>
              <w:spacing w:after="0"/>
            </w:pPr>
            <w:r>
              <w:rPr>
                <w:b/>
                <w:color w:val="FFFFFF"/>
                <w:sz w:val="16"/>
              </w:rPr>
            </w:r>
            <w:r>
              <w:rPr>
                <w:b/>
                <w:color w:val="FFFFFF"/>
                <w:sz w:val="16"/>
              </w:rPr>
              <w:t>#</w:t>
            </w:r>
          </w:p>
        </w:tc>
        <w:tc>
          <w:tcPr>
            <w:tcW w:type="dxa" w:w="3408"/>
            <w:shd w:fill="122A44"/>
            <w:vAlign w:val="top"/>
            <w:tcMar>
              <w:top w:w="90" w:type="dxa"/>
              <w:start w:w="90" w:type="dxa"/>
              <w:bottom w:w="90" w:type="dxa"/>
              <w:end w:w="90" w:type="dxa"/>
            </w:tcMar>
          </w:tcPr>
          <w:p>
            <w:pPr>
              <w:spacing w:after="0"/>
            </w:pPr>
            <w:r>
              <w:rPr>
                <w:b/>
                <w:color w:val="FFFFFF"/>
                <w:sz w:val="16"/>
              </w:rPr>
            </w:r>
            <w:r>
              <w:rPr>
                <w:b/>
                <w:color w:val="FFFFFF"/>
                <w:sz w:val="16"/>
              </w:rPr>
              <w:t>Source</w:t>
            </w:r>
          </w:p>
        </w:tc>
        <w:tc>
          <w:tcPr>
            <w:tcW w:type="dxa" w:w="3408"/>
            <w:shd w:fill="122A44"/>
            <w:vAlign w:val="top"/>
            <w:tcMar>
              <w:top w:w="90" w:type="dxa"/>
              <w:start w:w="90" w:type="dxa"/>
              <w:bottom w:w="90" w:type="dxa"/>
              <w:end w:w="90" w:type="dxa"/>
            </w:tcMar>
          </w:tcPr>
          <w:p>
            <w:pPr>
              <w:spacing w:after="0"/>
            </w:pPr>
            <w:r>
              <w:rPr>
                <w:b/>
                <w:color w:val="FFFFFF"/>
                <w:sz w:val="16"/>
              </w:rPr>
            </w:r>
            <w:r>
              <w:rPr>
                <w:b/>
                <w:color w:val="FFFFFF"/>
                <w:sz w:val="16"/>
              </w:rPr>
              <w:t>Type / Link</w:t>
            </w:r>
          </w:p>
        </w:tc>
      </w:tr>
      <w:tr>
        <w:trPr>
          <w:trHeight w:hRule="atLeast"/>
        </w:trPr>
        <w:tc>
          <w:tcPr>
            <w:tcW w:type="dxa" w:w="3408"/>
            <w:vAlign w:val="top"/>
            <w:tcMar>
              <w:top w:w="90" w:type="dxa"/>
              <w:start w:w="90" w:type="dxa"/>
              <w:bottom w:w="90" w:type="dxa"/>
              <w:end w:w="90" w:type="dxa"/>
            </w:tcMar>
          </w:tcPr>
          <w:p>
            <w:pPr>
              <w:spacing w:after="0"/>
            </w:pPr>
            <w:r>
              <w:rPr>
                <w:sz w:val="16"/>
              </w:rPr>
            </w:r>
            <w:r>
              <w:rPr>
                <w:b w:val="0"/>
                <w:sz w:val="16"/>
              </w:rPr>
              <w:t>1</w:t>
            </w:r>
          </w:p>
        </w:tc>
        <w:tc>
          <w:tcPr>
            <w:tcW w:type="dxa" w:w="3408"/>
            <w:vAlign w:val="top"/>
            <w:tcMar>
              <w:top w:w="90" w:type="dxa"/>
              <w:start w:w="90" w:type="dxa"/>
              <w:bottom w:w="90" w:type="dxa"/>
              <w:end w:w="90" w:type="dxa"/>
            </w:tcMar>
          </w:tcPr>
          <w:p>
            <w:pPr>
              <w:spacing w:after="0"/>
            </w:pPr>
            <w:r>
              <w:rPr>
                <w:sz w:val="16"/>
              </w:rPr>
            </w:r>
            <w:r>
              <w:rPr>
                <w:b w:val="0"/>
                <w:sz w:val="16"/>
              </w:rPr>
              <w:t>Cloud Security Envisioning &amp; Strategy Workshop Syllabus</w:t>
            </w:r>
          </w:p>
        </w:tc>
        <w:tc>
          <w:tcPr>
            <w:tcW w:type="dxa" w:w="3408"/>
            <w:vAlign w:val="top"/>
            <w:tcMar>
              <w:top w:w="90" w:type="dxa"/>
              <w:start w:w="90" w:type="dxa"/>
              <w:bottom w:w="90" w:type="dxa"/>
              <w:end w:w="90" w:type="dxa"/>
            </w:tcMar>
          </w:tcPr>
          <w:p>
            <w:pPr>
              <w:spacing w:after="0"/>
            </w:pPr>
            <w:r>
              <w:rPr>
                <w:sz w:val="16"/>
              </w:rPr>
            </w:r>
            <w:r>
              <w:rPr>
                <w:sz w:val="16"/>
              </w:rPr>
              <w:t>Uploaded course syllabus document</w:t>
            </w:r>
          </w:p>
        </w:tc>
      </w:tr>
      <w:tr>
        <w:trPr>
          <w:trHeight w:hRule="atLeast"/>
        </w:trPr>
        <w:tc>
          <w:tcPr>
            <w:tcW w:type="dxa" w:w="3408"/>
            <w:vAlign w:val="top"/>
            <w:tcMar>
              <w:top w:w="90" w:type="dxa"/>
              <w:start w:w="90" w:type="dxa"/>
              <w:bottom w:w="90" w:type="dxa"/>
              <w:end w:w="90" w:type="dxa"/>
            </w:tcMar>
            <w:shd w:fill="FAFCFE"/>
          </w:tcPr>
          <w:p>
            <w:pPr>
              <w:spacing w:after="0"/>
            </w:pPr>
            <w:r>
              <w:rPr>
                <w:sz w:val="16"/>
              </w:rPr>
            </w:r>
            <w:r>
              <w:rPr>
                <w:b w:val="0"/>
                <w:sz w:val="16"/>
              </w:rPr>
              <w:t>2</w:t>
            </w:r>
          </w:p>
        </w:tc>
        <w:tc>
          <w:tcPr>
            <w:tcW w:type="dxa" w:w="3408"/>
            <w:vAlign w:val="top"/>
            <w:tcMar>
              <w:top w:w="90" w:type="dxa"/>
              <w:start w:w="90" w:type="dxa"/>
              <w:bottom w:w="90" w:type="dxa"/>
              <w:end w:w="90" w:type="dxa"/>
            </w:tcMar>
            <w:shd w:fill="FAFCFE"/>
          </w:tcPr>
          <w:p>
            <w:pPr>
              <w:spacing w:after="0"/>
            </w:pPr>
            <w:r>
              <w:rPr>
                <w:sz w:val="16"/>
              </w:rPr>
            </w:r>
            <w:r>
              <w:rPr>
                <w:b w:val="0"/>
                <w:sz w:val="16"/>
              </w:rPr>
              <w:t>Microsoft Learn Collection — Cloud Security Envisioning &amp; Strategy Workshop Syllabus</w:t>
            </w:r>
          </w:p>
        </w:tc>
        <w:tc>
          <w:tcPr>
            <w:tcW w:type="dxa" w:w="3408"/>
            <w:vAlign w:val="top"/>
            <w:tcMar>
              <w:top w:w="90" w:type="dxa"/>
              <w:start w:w="90" w:type="dxa"/>
              <w:bottom w:w="90" w:type="dxa"/>
              <w:end w:w="90" w:type="dxa"/>
            </w:tcMar>
            <w:shd w:fill="FAFCFE"/>
          </w:tcPr>
          <w:p>
            <w:pPr>
              <w:spacing w:after="0"/>
            </w:pPr>
            <w:r>
              <w:rPr>
                <w:sz w:val="16"/>
              </w:rPr>
            </w:r>
            <w:r>
              <w:rPr>
                <w:sz w:val="16"/>
              </w:rPr>
              <w:t>Uploaded collection reference</w:t>
            </w:r>
          </w:p>
        </w:tc>
      </w:tr>
      <w:tr>
        <w:trPr>
          <w:trHeight w:hRule="atLeast"/>
        </w:trPr>
        <w:tc>
          <w:tcPr>
            <w:tcW w:type="dxa" w:w="3408"/>
            <w:vAlign w:val="top"/>
            <w:tcMar>
              <w:top w:w="90" w:type="dxa"/>
              <w:start w:w="90" w:type="dxa"/>
              <w:bottom w:w="90" w:type="dxa"/>
              <w:end w:w="90" w:type="dxa"/>
            </w:tcMar>
          </w:tcPr>
          <w:p>
            <w:pPr>
              <w:spacing w:after="0"/>
            </w:pPr>
            <w:r>
              <w:rPr>
                <w:sz w:val="16"/>
              </w:rPr>
            </w:r>
            <w:r>
              <w:rPr>
                <w:b w:val="0"/>
                <w:sz w:val="16"/>
              </w:rPr>
              <w:t>3</w:t>
            </w:r>
          </w:p>
        </w:tc>
        <w:tc>
          <w:tcPr>
            <w:tcW w:type="dxa" w:w="3408"/>
            <w:vAlign w:val="top"/>
            <w:tcMar>
              <w:top w:w="90" w:type="dxa"/>
              <w:start w:w="90" w:type="dxa"/>
              <w:bottom w:w="90" w:type="dxa"/>
              <w:end w:w="90" w:type="dxa"/>
            </w:tcMar>
          </w:tcPr>
          <w:p>
            <w:pPr>
              <w:spacing w:after="0"/>
            </w:pPr>
            <w:r>
              <w:rPr>
                <w:sz w:val="16"/>
              </w:rPr>
            </w:r>
            <w:r>
              <w:rPr>
                <w:b w:val="0"/>
                <w:sz w:val="16"/>
              </w:rPr>
              <w:t>Student Pre-Course Readiness Requirements — CESE323 ERC1.0</w:t>
            </w:r>
          </w:p>
        </w:tc>
        <w:tc>
          <w:tcPr>
            <w:tcW w:type="dxa" w:w="3408"/>
            <w:vAlign w:val="top"/>
            <w:tcMar>
              <w:top w:w="90" w:type="dxa"/>
              <w:start w:w="90" w:type="dxa"/>
              <w:bottom w:w="90" w:type="dxa"/>
              <w:end w:w="90" w:type="dxa"/>
            </w:tcMar>
          </w:tcPr>
          <w:p>
            <w:pPr>
              <w:spacing w:after="0"/>
            </w:pPr>
            <w:r>
              <w:rPr>
                <w:sz w:val="16"/>
              </w:rPr>
            </w:r>
            <w:r>
              <w:rPr>
                <w:sz w:val="16"/>
              </w:rPr>
              <w:t>Uploaded pre-course requirements file</w:t>
            </w:r>
          </w:p>
        </w:tc>
      </w:tr>
      <w:tr>
        <w:trPr>
          <w:trHeight w:hRule="atLeast"/>
        </w:trPr>
        <w:tc>
          <w:tcPr>
            <w:tcW w:type="dxa" w:w="3408"/>
            <w:vAlign w:val="top"/>
            <w:tcMar>
              <w:top w:w="90" w:type="dxa"/>
              <w:start w:w="90" w:type="dxa"/>
              <w:bottom w:w="90" w:type="dxa"/>
              <w:end w:w="90" w:type="dxa"/>
            </w:tcMar>
            <w:shd w:fill="FAFCFE"/>
          </w:tcPr>
          <w:p>
            <w:pPr>
              <w:spacing w:after="0"/>
            </w:pPr>
            <w:r>
              <w:rPr>
                <w:sz w:val="16"/>
              </w:rPr>
            </w:r>
            <w:r>
              <w:rPr>
                <w:b w:val="0"/>
                <w:sz w:val="16"/>
              </w:rPr>
              <w:t>4</w:t>
            </w:r>
          </w:p>
        </w:tc>
        <w:tc>
          <w:tcPr>
            <w:tcW w:type="dxa" w:w="3408"/>
            <w:vAlign w:val="top"/>
            <w:tcMar>
              <w:top w:w="90" w:type="dxa"/>
              <w:start w:w="90" w:type="dxa"/>
              <w:bottom w:w="90" w:type="dxa"/>
              <w:end w:w="90" w:type="dxa"/>
            </w:tcMar>
            <w:shd w:fill="FAFCFE"/>
          </w:tcPr>
          <w:p>
            <w:pPr>
              <w:spacing w:after="0"/>
            </w:pPr>
            <w:r>
              <w:rPr>
                <w:sz w:val="16"/>
              </w:rPr>
            </w:r>
            <w:r>
              <w:rPr>
                <w:b w:val="0"/>
                <w:sz w:val="16"/>
              </w:rPr>
              <w:t>Microsoft Defender for Cloud — Connect your Azure subscriptions</w:t>
            </w:r>
          </w:p>
        </w:tc>
        <w:tc>
          <w:tcPr>
            <w:tcW w:type="dxa" w:w="3408"/>
            <w:vAlign w:val="top"/>
            <w:tcMar>
              <w:top w:w="90" w:type="dxa"/>
              <w:start w:w="90" w:type="dxa"/>
              <w:bottom w:w="90" w:type="dxa"/>
              <w:end w:w="90" w:type="dxa"/>
            </w:tcMar>
            <w:shd w:fill="FAFCFE"/>
          </w:tcPr>
          <w:p>
            <w:pPr>
              <w:spacing w:after="0"/>
            </w:pPr>
            <w:r>
              <w:rPr>
                <w:sz w:val="16"/>
              </w:rPr>
            </w:r>
            <w:r>
              <w:rPr>
                <w:sz w:val="16"/>
              </w:rPr>
              <w:t xml:space="preserve">Microsoft documentation — </w:t>
            </w:r>
            <w:hyperlink r:id="rId11">
              <w:r>
                <w:rPr>
                  <w:color w:val="005A9C"/>
                  <w:u w:val="single"/>
                </w:rPr>
                <w:t>Open source</w:t>
              </w:r>
            </w:hyperlink>
          </w:p>
        </w:tc>
      </w:tr>
      <w:tr>
        <w:trPr>
          <w:trHeight w:hRule="atLeast"/>
        </w:trPr>
        <w:tc>
          <w:tcPr>
            <w:tcW w:type="dxa" w:w="3408"/>
            <w:vAlign w:val="top"/>
            <w:tcMar>
              <w:top w:w="90" w:type="dxa"/>
              <w:start w:w="90" w:type="dxa"/>
              <w:bottom w:w="90" w:type="dxa"/>
              <w:end w:w="90" w:type="dxa"/>
            </w:tcMar>
          </w:tcPr>
          <w:p>
            <w:pPr>
              <w:spacing w:after="0"/>
            </w:pPr>
            <w:r>
              <w:rPr>
                <w:sz w:val="16"/>
              </w:rPr>
            </w:r>
            <w:r>
              <w:rPr>
                <w:b w:val="0"/>
                <w:sz w:val="16"/>
              </w:rPr>
              <w:t>5</w:t>
            </w:r>
          </w:p>
        </w:tc>
        <w:tc>
          <w:tcPr>
            <w:tcW w:type="dxa" w:w="3408"/>
            <w:vAlign w:val="top"/>
            <w:tcMar>
              <w:top w:w="90" w:type="dxa"/>
              <w:start w:w="90" w:type="dxa"/>
              <w:bottom w:w="90" w:type="dxa"/>
              <w:end w:w="90" w:type="dxa"/>
            </w:tcMar>
          </w:tcPr>
          <w:p>
            <w:pPr>
              <w:spacing w:after="0"/>
            </w:pPr>
            <w:r>
              <w:rPr>
                <w:sz w:val="16"/>
              </w:rPr>
            </w:r>
            <w:r>
              <w:rPr>
                <w:b w:val="0"/>
                <w:sz w:val="16"/>
              </w:rPr>
              <w:t>Microsoft Defender for Cloud — User roles and permissions</w:t>
            </w:r>
          </w:p>
        </w:tc>
        <w:tc>
          <w:tcPr>
            <w:tcW w:type="dxa" w:w="3408"/>
            <w:vAlign w:val="top"/>
            <w:tcMar>
              <w:top w:w="90" w:type="dxa"/>
              <w:start w:w="90" w:type="dxa"/>
              <w:bottom w:w="90" w:type="dxa"/>
              <w:end w:w="90" w:type="dxa"/>
            </w:tcMar>
          </w:tcPr>
          <w:p>
            <w:pPr>
              <w:spacing w:after="0"/>
            </w:pPr>
            <w:r>
              <w:rPr>
                <w:sz w:val="16"/>
              </w:rPr>
            </w:r>
            <w:r>
              <w:rPr>
                <w:sz w:val="16"/>
              </w:rPr>
              <w:t xml:space="preserve">Microsoft documentation — </w:t>
            </w:r>
            <w:hyperlink r:id="rId12">
              <w:r>
                <w:rPr>
                  <w:color w:val="005A9C"/>
                  <w:u w:val="single"/>
                </w:rPr>
                <w:t>Open source</w:t>
              </w:r>
            </w:hyperlink>
          </w:p>
        </w:tc>
      </w:tr>
      <w:tr>
        <w:trPr>
          <w:trHeight w:hRule="atLeast"/>
        </w:trPr>
        <w:tc>
          <w:tcPr>
            <w:tcW w:type="dxa" w:w="3408"/>
            <w:vAlign w:val="top"/>
            <w:tcMar>
              <w:top w:w="90" w:type="dxa"/>
              <w:start w:w="90" w:type="dxa"/>
              <w:bottom w:w="90" w:type="dxa"/>
              <w:end w:w="90" w:type="dxa"/>
            </w:tcMar>
            <w:shd w:fill="FAFCFE"/>
          </w:tcPr>
          <w:p>
            <w:pPr>
              <w:spacing w:after="0"/>
            </w:pPr>
            <w:r>
              <w:rPr>
                <w:sz w:val="16"/>
              </w:rPr>
            </w:r>
            <w:r>
              <w:rPr>
                <w:b w:val="0"/>
                <w:sz w:val="16"/>
              </w:rPr>
              <w:t>6</w:t>
            </w:r>
          </w:p>
        </w:tc>
        <w:tc>
          <w:tcPr>
            <w:tcW w:type="dxa" w:w="3408"/>
            <w:vAlign w:val="top"/>
            <w:tcMar>
              <w:top w:w="90" w:type="dxa"/>
              <w:start w:w="90" w:type="dxa"/>
              <w:bottom w:w="90" w:type="dxa"/>
              <w:end w:w="90" w:type="dxa"/>
            </w:tcMar>
            <w:shd w:fill="FAFCFE"/>
          </w:tcPr>
          <w:p>
            <w:pPr>
              <w:spacing w:after="0"/>
            </w:pPr>
            <w:r>
              <w:rPr>
                <w:sz w:val="16"/>
              </w:rPr>
            </w:r>
            <w:r>
              <w:rPr>
                <w:b w:val="0"/>
                <w:sz w:val="16"/>
              </w:rPr>
              <w:t>Microsoft Defender for Cloud — Overview</w:t>
            </w:r>
          </w:p>
        </w:tc>
        <w:tc>
          <w:tcPr>
            <w:tcW w:type="dxa" w:w="3408"/>
            <w:vAlign w:val="top"/>
            <w:tcMar>
              <w:top w:w="90" w:type="dxa"/>
              <w:start w:w="90" w:type="dxa"/>
              <w:bottom w:w="90" w:type="dxa"/>
              <w:end w:w="90" w:type="dxa"/>
            </w:tcMar>
            <w:shd w:fill="FAFCFE"/>
          </w:tcPr>
          <w:p>
            <w:pPr>
              <w:spacing w:after="0"/>
            </w:pPr>
            <w:r>
              <w:rPr>
                <w:sz w:val="16"/>
              </w:rPr>
            </w:r>
            <w:r>
              <w:rPr>
                <w:sz w:val="16"/>
              </w:rPr>
              <w:t xml:space="preserve">Microsoft documentation — </w:t>
            </w:r>
            <w:hyperlink r:id="rId13">
              <w:r>
                <w:rPr>
                  <w:color w:val="005A9C"/>
                  <w:u w:val="single"/>
                </w:rPr>
                <w:t>Open source</w:t>
              </w:r>
            </w:hyperlink>
          </w:p>
        </w:tc>
      </w:tr>
      <w:tr>
        <w:trPr>
          <w:trHeight w:hRule="atLeast"/>
        </w:trPr>
        <w:tc>
          <w:tcPr>
            <w:tcW w:type="dxa" w:w="3408"/>
            <w:vAlign w:val="top"/>
            <w:tcMar>
              <w:top w:w="90" w:type="dxa"/>
              <w:start w:w="90" w:type="dxa"/>
              <w:bottom w:w="90" w:type="dxa"/>
              <w:end w:w="90" w:type="dxa"/>
            </w:tcMar>
          </w:tcPr>
          <w:p>
            <w:pPr>
              <w:spacing w:after="0"/>
            </w:pPr>
            <w:r>
              <w:rPr>
                <w:sz w:val="16"/>
              </w:rPr>
            </w:r>
            <w:r>
              <w:rPr>
                <w:b w:val="0"/>
                <w:sz w:val="16"/>
              </w:rPr>
              <w:t>7</w:t>
            </w:r>
          </w:p>
        </w:tc>
        <w:tc>
          <w:tcPr>
            <w:tcW w:type="dxa" w:w="3408"/>
            <w:vAlign w:val="top"/>
            <w:tcMar>
              <w:top w:w="90" w:type="dxa"/>
              <w:start w:w="90" w:type="dxa"/>
              <w:bottom w:w="90" w:type="dxa"/>
              <w:end w:w="90" w:type="dxa"/>
            </w:tcMar>
          </w:tcPr>
          <w:p>
            <w:pPr>
              <w:spacing w:after="0"/>
            </w:pPr>
            <w:r>
              <w:rPr>
                <w:sz w:val="16"/>
              </w:rPr>
            </w:r>
            <w:r>
              <w:rPr>
                <w:b w:val="0"/>
                <w:sz w:val="16"/>
              </w:rPr>
              <w:t>Microsoft Defender for Cloud — Common questions about Defender for Storage</w:t>
            </w:r>
          </w:p>
        </w:tc>
        <w:tc>
          <w:tcPr>
            <w:tcW w:type="dxa" w:w="3408"/>
            <w:vAlign w:val="top"/>
            <w:tcMar>
              <w:top w:w="90" w:type="dxa"/>
              <w:start w:w="90" w:type="dxa"/>
              <w:bottom w:w="90" w:type="dxa"/>
              <w:end w:w="90" w:type="dxa"/>
            </w:tcMar>
          </w:tcPr>
          <w:p>
            <w:pPr>
              <w:spacing w:after="0"/>
            </w:pPr>
            <w:r>
              <w:rPr>
                <w:sz w:val="16"/>
              </w:rPr>
            </w:r>
            <w:r>
              <w:rPr>
                <w:sz w:val="16"/>
              </w:rPr>
              <w:t xml:space="preserve">Microsoft documentation — </w:t>
            </w:r>
            <w:hyperlink r:id="rId14">
              <w:r>
                <w:rPr>
                  <w:color w:val="005A9C"/>
                  <w:u w:val="single"/>
                </w:rPr>
                <w:t>Open source</w:t>
              </w:r>
            </w:hyperlink>
          </w:p>
        </w:tc>
      </w:tr>
      <w:tr>
        <w:trPr>
          <w:trHeight w:hRule="atLeast"/>
        </w:trPr>
        <w:tc>
          <w:tcPr>
            <w:tcW w:type="dxa" w:w="3408"/>
            <w:vAlign w:val="top"/>
            <w:tcMar>
              <w:top w:w="90" w:type="dxa"/>
              <w:start w:w="90" w:type="dxa"/>
              <w:bottom w:w="90" w:type="dxa"/>
              <w:end w:w="90" w:type="dxa"/>
            </w:tcMar>
            <w:shd w:fill="FAFCFE"/>
          </w:tcPr>
          <w:p>
            <w:pPr>
              <w:spacing w:after="0"/>
            </w:pPr>
            <w:r>
              <w:rPr>
                <w:sz w:val="16"/>
              </w:rPr>
            </w:r>
            <w:r>
              <w:rPr>
                <w:b w:val="0"/>
                <w:sz w:val="16"/>
              </w:rPr>
              <w:t>8</w:t>
            </w:r>
          </w:p>
        </w:tc>
        <w:tc>
          <w:tcPr>
            <w:tcW w:type="dxa" w:w="3408"/>
            <w:vAlign w:val="top"/>
            <w:tcMar>
              <w:top w:w="90" w:type="dxa"/>
              <w:start w:w="90" w:type="dxa"/>
              <w:bottom w:w="90" w:type="dxa"/>
              <w:end w:w="90" w:type="dxa"/>
            </w:tcMar>
            <w:shd w:fill="FAFCFE"/>
          </w:tcPr>
          <w:p>
            <w:pPr>
              <w:spacing w:after="0"/>
            </w:pPr>
            <w:r>
              <w:rPr>
                <w:sz w:val="16"/>
              </w:rPr>
            </w:r>
            <w:r>
              <w:rPr>
                <w:b w:val="0"/>
                <w:sz w:val="16"/>
              </w:rPr>
              <w:t>Microsoft Defender for Cloud — Enable Defender for Containers</w:t>
            </w:r>
          </w:p>
        </w:tc>
        <w:tc>
          <w:tcPr>
            <w:tcW w:type="dxa" w:w="3408"/>
            <w:vAlign w:val="top"/>
            <w:tcMar>
              <w:top w:w="90" w:type="dxa"/>
              <w:start w:w="90" w:type="dxa"/>
              <w:bottom w:w="90" w:type="dxa"/>
              <w:end w:w="90" w:type="dxa"/>
            </w:tcMar>
            <w:shd w:fill="FAFCFE"/>
          </w:tcPr>
          <w:p>
            <w:pPr>
              <w:spacing w:after="0"/>
            </w:pPr>
            <w:r>
              <w:rPr>
                <w:sz w:val="16"/>
              </w:rPr>
            </w:r>
            <w:r>
              <w:rPr>
                <w:sz w:val="16"/>
              </w:rPr>
              <w:t xml:space="preserve">Microsoft documentation — </w:t>
            </w:r>
            <w:hyperlink r:id="rId15">
              <w:r>
                <w:rPr>
                  <w:color w:val="005A9C"/>
                  <w:u w:val="single"/>
                </w:rPr>
                <w:t>Open source</w:t>
              </w:r>
            </w:hyperlink>
          </w:p>
        </w:tc>
      </w:tr>
      <w:tr>
        <w:trPr>
          <w:trHeight w:hRule="atLeast"/>
        </w:trPr>
        <w:tc>
          <w:tcPr>
            <w:tcW w:type="dxa" w:w="3408"/>
            <w:vAlign w:val="top"/>
            <w:tcMar>
              <w:top w:w="90" w:type="dxa"/>
              <w:start w:w="90" w:type="dxa"/>
              <w:bottom w:w="90" w:type="dxa"/>
              <w:end w:w="90" w:type="dxa"/>
            </w:tcMar>
          </w:tcPr>
          <w:p>
            <w:pPr>
              <w:spacing w:after="0"/>
            </w:pPr>
            <w:r>
              <w:rPr>
                <w:sz w:val="16"/>
              </w:rPr>
            </w:r>
            <w:r>
              <w:rPr>
                <w:b w:val="0"/>
                <w:sz w:val="16"/>
              </w:rPr>
              <w:t>9</w:t>
            </w:r>
          </w:p>
        </w:tc>
        <w:tc>
          <w:tcPr>
            <w:tcW w:type="dxa" w:w="3408"/>
            <w:vAlign w:val="top"/>
            <w:tcMar>
              <w:top w:w="90" w:type="dxa"/>
              <w:start w:w="90" w:type="dxa"/>
              <w:bottom w:w="90" w:type="dxa"/>
              <w:end w:w="90" w:type="dxa"/>
            </w:tcMar>
          </w:tcPr>
          <w:p>
            <w:pPr>
              <w:spacing w:after="0"/>
            </w:pPr>
            <w:r>
              <w:rPr>
                <w:sz w:val="16"/>
              </w:rPr>
            </w:r>
            <w:r>
              <w:rPr>
                <w:b w:val="0"/>
                <w:sz w:val="16"/>
              </w:rPr>
              <w:t>Microsoft Learn — Enable Defender for AI Services workload protection</w:t>
            </w:r>
          </w:p>
        </w:tc>
        <w:tc>
          <w:tcPr>
            <w:tcW w:type="dxa" w:w="3408"/>
            <w:vAlign w:val="top"/>
            <w:tcMar>
              <w:top w:w="90" w:type="dxa"/>
              <w:start w:w="90" w:type="dxa"/>
              <w:bottom w:w="90" w:type="dxa"/>
              <w:end w:w="90" w:type="dxa"/>
            </w:tcMar>
          </w:tcPr>
          <w:p>
            <w:pPr>
              <w:spacing w:after="0"/>
            </w:pPr>
            <w:r>
              <w:rPr>
                <w:sz w:val="16"/>
              </w:rPr>
            </w:r>
            <w:r>
              <w:rPr>
                <w:sz w:val="16"/>
              </w:rPr>
              <w:t xml:space="preserve">Microsoft Learn module — </w:t>
            </w:r>
            <w:hyperlink r:id="rId16">
              <w:r>
                <w:rPr>
                  <w:color w:val="005A9C"/>
                  <w:u w:val="single"/>
                </w:rPr>
                <w:t>Open source</w:t>
              </w:r>
            </w:hyperlink>
          </w:p>
        </w:tc>
      </w:tr>
      <w:tr>
        <w:trPr>
          <w:trHeight w:hRule="atLeast"/>
        </w:trPr>
        <w:tc>
          <w:tcPr>
            <w:tcW w:type="dxa" w:w="3408"/>
            <w:vAlign w:val="top"/>
            <w:tcMar>
              <w:top w:w="90" w:type="dxa"/>
              <w:start w:w="90" w:type="dxa"/>
              <w:bottom w:w="90" w:type="dxa"/>
              <w:end w:w="90" w:type="dxa"/>
            </w:tcMar>
            <w:shd w:fill="FAFCFE"/>
          </w:tcPr>
          <w:p>
            <w:pPr>
              <w:spacing w:after="0"/>
            </w:pPr>
            <w:r>
              <w:rPr>
                <w:sz w:val="16"/>
              </w:rPr>
            </w:r>
            <w:r>
              <w:rPr>
                <w:b w:val="0"/>
                <w:sz w:val="16"/>
              </w:rPr>
              <w:t>10</w:t>
            </w:r>
          </w:p>
        </w:tc>
        <w:tc>
          <w:tcPr>
            <w:tcW w:type="dxa" w:w="3408"/>
            <w:vAlign w:val="top"/>
            <w:tcMar>
              <w:top w:w="90" w:type="dxa"/>
              <w:start w:w="90" w:type="dxa"/>
              <w:bottom w:w="90" w:type="dxa"/>
              <w:end w:w="90" w:type="dxa"/>
            </w:tcMar>
            <w:shd w:fill="FAFCFE"/>
          </w:tcPr>
          <w:p>
            <w:pPr>
              <w:spacing w:after="0"/>
            </w:pPr>
            <w:r>
              <w:rPr>
                <w:sz w:val="16"/>
              </w:rPr>
            </w:r>
            <w:r>
              <w:rPr>
                <w:b w:val="0"/>
                <w:sz w:val="16"/>
              </w:rPr>
              <w:t>Microsoft Defender for Cloud — Enable threat protection for AI services</w:t>
            </w:r>
          </w:p>
        </w:tc>
        <w:tc>
          <w:tcPr>
            <w:tcW w:type="dxa" w:w="3408"/>
            <w:vAlign w:val="top"/>
            <w:tcMar>
              <w:top w:w="90" w:type="dxa"/>
              <w:start w:w="90" w:type="dxa"/>
              <w:bottom w:w="90" w:type="dxa"/>
              <w:end w:w="90" w:type="dxa"/>
            </w:tcMar>
            <w:shd w:fill="FAFCFE"/>
          </w:tcPr>
          <w:p>
            <w:pPr>
              <w:spacing w:after="0"/>
            </w:pPr>
            <w:r>
              <w:rPr>
                <w:sz w:val="16"/>
              </w:rPr>
            </w:r>
            <w:r>
              <w:rPr>
                <w:sz w:val="16"/>
              </w:rPr>
              <w:t xml:space="preserve">Microsoft documentation — </w:t>
            </w:r>
            <w:hyperlink r:id="rId17">
              <w:r>
                <w:rPr>
                  <w:color w:val="005A9C"/>
                  <w:u w:val="single"/>
                </w:rPr>
                <w:t>Open source</w:t>
              </w:r>
            </w:hyperlink>
          </w:p>
        </w:tc>
      </w:tr>
    </w:tbl>
    <w:p/>
    <w:p>
      <w:pPr>
        <w:spacing w:before="120" w:after="160"/>
        <w:ind w:left="144" w:right="144"/>
        <w:shd w:fill="E8F7F7"/>
      </w:pPr>
      <w:r>
        <w:rPr>
          <w:rFonts w:ascii="Aptos" w:hAnsi="Aptos" w:eastAsia="Aptos"/>
          <w:b/>
          <w:color w:val="122A44"/>
          <w:sz w:val="20"/>
        </w:rPr>
        <w:t>Release note: Review Microsoft licensing, pricing, and portal navigation before each course delivery, as Microsoft cloud services and Defender plan behavior can change.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Skunkworks Academy | Lab Planning Guide | Confidential Training Draft</w:t>
    </w:r>
  </w:p>
  <w:p>
    <w:pPr>
      <w:jc w:val="right"/>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122A44"/>
        <w:sz w:val="16"/>
      </w:rPr>
      <w:t>CESE323 ERC1.0 — Cloud Security Envisioning &amp;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2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5A9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08C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22A4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azure/defender-for-cloud/connect-azure-subscription" TargetMode="External"/><Relationship Id="rId12" Type="http://schemas.openxmlformats.org/officeDocument/2006/relationships/hyperlink" Target="https://learn.microsoft.com/en-us/azure/defender-for-cloud/permissions" TargetMode="External"/><Relationship Id="rId13" Type="http://schemas.openxmlformats.org/officeDocument/2006/relationships/hyperlink" Target="https://learn.microsoft.com/en-us/azure/defender-for-cloud/defender-for-cloud-introduction" TargetMode="External"/><Relationship Id="rId14" Type="http://schemas.openxmlformats.org/officeDocument/2006/relationships/hyperlink" Target="https://learn.microsoft.com/en-us/azure/defender-for-cloud/faq-defender-for-storage" TargetMode="External"/><Relationship Id="rId15" Type="http://schemas.openxmlformats.org/officeDocument/2006/relationships/hyperlink" Target="https://learn.microsoft.com/en-us/azure/defender-for-cloud/defender-for-containers-enable-plan" TargetMode="External"/><Relationship Id="rId16" Type="http://schemas.openxmlformats.org/officeDocument/2006/relationships/hyperlink" Target="https://learn.microsoft.com/en-us/training/modules/implement-defender-cloud-ai-services/" TargetMode="External"/><Relationship Id="rId17" Type="http://schemas.openxmlformats.org/officeDocument/2006/relationships/hyperlink" Target="https://learn.microsoft.com/en-us/azure/defender-for-cloud/ai-onboar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