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F62FE"/>
          <w:sz w:val="20"/>
        </w:rPr>
        <w:t>SKUNKWORKS ACADEMY</w:t>
      </w:r>
    </w:p>
    <w:p/>
    <w:p/>
    <w:p>
      <w:pPr>
        <w:jc w:val="left"/>
      </w:pPr>
      <w:r>
        <w:rPr>
          <w:b/>
          <w:color w:val="0F62FE"/>
          <w:sz w:val="24"/>
        </w:rPr>
        <w:t>STUDENT COURSE GUIDE</w:t>
      </w:r>
    </w:p>
    <w:p>
      <w:pPr>
        <w:pStyle w:val="Title"/>
        <w:spacing w:after="80"/>
      </w:pPr>
      <w:r>
        <w:rPr>
          <w:b/>
        </w:rPr>
        <w:t>CESE323 ERC1.0</w:t>
      </w:r>
    </w:p>
    <w:p>
      <w:pPr>
        <w:pStyle w:val="Title"/>
        <w:spacing w:after="160"/>
      </w:pPr>
      <w:r>
        <w:rPr>
          <w:b/>
        </w:rPr>
        <w:t>Cloud Security Envisioning &amp; Strategy</w:t>
      </w:r>
    </w:p>
    <w:p>
      <w:pPr>
        <w:pStyle w:val="Subtitle"/>
      </w:pPr>
      <w:r>
        <w:t>Microsoft Defender for Cloud, Microsoft Entra, CSPM, workload protection, AI security, and operational readiness</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2304"/>
            <w:vAlign w:val="top"/>
            <w:shd w:fill="F8FAFC"/>
          </w:tcPr>
          <w:p>
            <w:r/>
            <w:r>
              <w:rPr>
                <w:b/>
                <w:sz w:val="17"/>
              </w:rPr>
              <w:t>Course code</w:t>
            </w:r>
          </w:p>
        </w:tc>
        <w:tc>
          <w:tcPr>
            <w:tcW w:type="dxa" w:w="8352"/>
            <w:vAlign w:val="top"/>
            <w:shd w:fill="FFFFFF"/>
          </w:tcPr>
          <w:p>
            <w:r/>
            <w:r>
              <w:rPr>
                <w:b w:val="0"/>
                <w:sz w:val="17"/>
              </w:rPr>
              <w:t>CESE323</w:t>
            </w:r>
          </w:p>
        </w:tc>
      </w:tr>
      <w:tr>
        <w:tc>
          <w:tcPr>
            <w:tcW w:type="dxa" w:w="2304"/>
            <w:vAlign w:val="top"/>
            <w:shd w:fill="F8FAFC"/>
          </w:tcPr>
          <w:p>
            <w:r/>
            <w:r>
              <w:rPr>
                <w:b/>
                <w:sz w:val="17"/>
              </w:rPr>
              <w:t>Release</w:t>
            </w:r>
          </w:p>
        </w:tc>
        <w:tc>
          <w:tcPr>
            <w:tcW w:type="dxa" w:w="8352"/>
            <w:vAlign w:val="top"/>
            <w:shd w:fill="FFFFFF"/>
          </w:tcPr>
          <w:p>
            <w:r/>
            <w:r>
              <w:rPr>
                <w:b w:val="0"/>
                <w:sz w:val="17"/>
              </w:rPr>
              <w:t>ERC1.0</w:t>
            </w:r>
          </w:p>
        </w:tc>
      </w:tr>
      <w:tr>
        <w:tc>
          <w:tcPr>
            <w:tcW w:type="dxa" w:w="2304"/>
            <w:vAlign w:val="top"/>
            <w:shd w:fill="F8FAFC"/>
          </w:tcPr>
          <w:p>
            <w:r/>
            <w:r>
              <w:rPr>
                <w:b/>
                <w:sz w:val="17"/>
              </w:rPr>
              <w:t>Guide type</w:t>
            </w:r>
          </w:p>
        </w:tc>
        <w:tc>
          <w:tcPr>
            <w:tcW w:type="dxa" w:w="8352"/>
            <w:vAlign w:val="top"/>
            <w:shd w:fill="FFFFFF"/>
          </w:tcPr>
          <w:p>
            <w:r/>
            <w:r>
              <w:rPr>
                <w:b w:val="0"/>
                <w:sz w:val="17"/>
              </w:rPr>
              <w:t>Student Course Guide</w:t>
            </w:r>
          </w:p>
        </w:tc>
      </w:tr>
      <w:tr>
        <w:tc>
          <w:tcPr>
            <w:tcW w:type="dxa" w:w="2304"/>
            <w:vAlign w:val="top"/>
            <w:shd w:fill="F8FAFC"/>
          </w:tcPr>
          <w:p>
            <w:r/>
            <w:r>
              <w:rPr>
                <w:b/>
                <w:sz w:val="17"/>
              </w:rPr>
              <w:t>Delivery model</w:t>
            </w:r>
          </w:p>
        </w:tc>
        <w:tc>
          <w:tcPr>
            <w:tcW w:type="dxa" w:w="8352"/>
            <w:vAlign w:val="top"/>
            <w:shd w:fill="FFFFFF"/>
          </w:tcPr>
          <w:p>
            <w:r/>
            <w:r>
              <w:rPr>
                <w:b w:val="0"/>
                <w:sz w:val="17"/>
              </w:rPr>
              <w:t>One-day instructor-led workshop with optional self-paced extension</w:t>
            </w:r>
          </w:p>
        </w:tc>
      </w:tr>
      <w:tr>
        <w:tc>
          <w:tcPr>
            <w:tcW w:type="dxa" w:w="2304"/>
            <w:vAlign w:val="top"/>
            <w:shd w:fill="F8FAFC"/>
          </w:tcPr>
          <w:p>
            <w:r/>
            <w:r>
              <w:rPr>
                <w:b/>
                <w:sz w:val="17"/>
              </w:rPr>
              <w:t>Primary platforms</w:t>
            </w:r>
          </w:p>
        </w:tc>
        <w:tc>
          <w:tcPr>
            <w:tcW w:type="dxa" w:w="8352"/>
            <w:vAlign w:val="top"/>
            <w:shd w:fill="FFFFFF"/>
          </w:tcPr>
          <w:p>
            <w:r/>
            <w:r>
              <w:rPr>
                <w:b w:val="0"/>
                <w:sz w:val="17"/>
              </w:rPr>
              <w:t>Microsoft Azure, Microsoft Defender for Cloud, Microsoft Defender portal, Microsoft Entra ID, Microsoft Learn</w:t>
            </w:r>
          </w:p>
        </w:tc>
      </w:tr>
      <w:tr>
        <w:tc>
          <w:tcPr>
            <w:tcW w:type="dxa" w:w="2304"/>
            <w:vAlign w:val="top"/>
            <w:shd w:fill="F8FAFC"/>
          </w:tcPr>
          <w:p>
            <w:r/>
            <w:r>
              <w:rPr>
                <w:b/>
                <w:sz w:val="17"/>
              </w:rPr>
              <w:t>Audience</w:t>
            </w:r>
          </w:p>
        </w:tc>
        <w:tc>
          <w:tcPr>
            <w:tcW w:type="dxa" w:w="8352"/>
            <w:vAlign w:val="top"/>
            <w:shd w:fill="FFFFFF"/>
          </w:tcPr>
          <w:p>
            <w:r/>
            <w:r>
              <w:rPr>
                <w:b w:val="0"/>
                <w:sz w:val="17"/>
              </w:rPr>
              <w:t>Cloud security engineers, administrators, architects, SecOps analysts, technical leads, and decision-makers</w:t>
            </w:r>
          </w:p>
        </w:tc>
      </w:tr>
      <w:tr>
        <w:tc>
          <w:tcPr>
            <w:tcW w:type="dxa" w:w="2304"/>
            <w:vAlign w:val="top"/>
            <w:shd w:fill="F8FAFC"/>
          </w:tcPr>
          <w:p>
            <w:r/>
            <w:r>
              <w:rPr>
                <w:b/>
                <w:sz w:val="17"/>
              </w:rPr>
              <w:t>Prepared for</w:t>
            </w:r>
          </w:p>
        </w:tc>
        <w:tc>
          <w:tcPr>
            <w:tcW w:type="dxa" w:w="8352"/>
            <w:vAlign w:val="top"/>
            <w:shd w:fill="FFFFFF"/>
          </w:tcPr>
          <w:p>
            <w:r/>
            <w:r>
              <w:rPr>
                <w:b w:val="0"/>
                <w:sz w:val="17"/>
              </w:rPr>
              <w:t>Skunkworks Academy courseware development</w:t>
            </w:r>
          </w:p>
        </w:tc>
      </w:tr>
    </w:tbl>
    <w:p/>
    <w:tbl>
      <w:tblPr>
        <w:tblW w:type="auto" w:w="0"/>
        <w:jc w:val="center"/>
        <w:tblLayout w:type="autofit"/>
        <w:tblLook w:firstColumn="1" w:firstRow="1" w:lastColumn="0" w:lastRow="0" w:noHBand="0" w:noVBand="1" w:val="04A0"/>
        <w:tblBorders>
          <w:top w:val="single" w:sz="8" w:space="0" w:color="0F62FE"/>
          <w:left w:val="single" w:sz="8" w:space="0" w:color="0F62FE"/>
          <w:bottom w:val="single" w:sz="8" w:space="0" w:color="0F62FE"/>
          <w:right w:val="single" w:sz="8" w:space="0" w:color="0F62FE"/>
          <w:insideH w:val="single" w:sz="8" w:space="0" w:color="0F62FE"/>
          <w:insideV w:val="single" w:sz="8" w:space="0" w:color="0F62FE"/>
        </w:tblBorders>
      </w:tblPr>
      <w:tblGrid>
        <w:gridCol w:w="10224"/>
      </w:tblGrid>
      <w:tr>
        <w:tc>
          <w:tcPr>
            <w:tcW w:type="dxa" w:w="10224"/>
            <w:shd w:fill="EAF2FF"/>
          </w:tcPr>
          <w:p>
            <w:pPr>
              <w:spacing w:after="60"/>
            </w:pPr>
            <w:r>
              <w:rPr>
                <w:b/>
                <w:color w:val="1F2937"/>
                <w:sz w:val="20"/>
              </w:rPr>
              <w:t>Student promise</w:t>
            </w:r>
          </w:p>
          <w:p>
            <w:pPr>
              <w:spacing w:after="0"/>
            </w:pPr>
            <w:r>
              <w:rPr>
                <w:sz w:val="18"/>
              </w:rPr>
              <w:t>By the end of this course, you should be able to connect strategic cloud security priorities to practical Microsoft Defender for Cloud posture management, workload protection, AI security, identity governance, and remediation decisions.</w:t>
            </w:r>
          </w:p>
        </w:tc>
      </w:tr>
    </w:tbl>
    <w:p/>
    <w:p>
      <w:pPr>
        <w:jc w:val="center"/>
      </w:pPr>
      <w:r>
        <w:rPr>
          <w:color w:val="4B5563"/>
          <w:sz w:val="17"/>
        </w:rPr>
        <w:t>Version: ERC1.0 | Status: Student Edition | Courseware Pack: CESE323</w:t>
      </w:r>
    </w:p>
    <w:p>
      <w:r>
        <w:br w:type="page"/>
      </w:r>
    </w:p>
    <w:p>
      <w:pPr>
        <w:spacing w:before="60" w:after="0"/>
      </w:pPr>
      <w:r>
        <w:rPr>
          <w:b/>
          <w:color w:val="0F62FE"/>
          <w:sz w:val="16"/>
        </w:rPr>
        <w:t>COURSEWARE</w:t>
      </w:r>
    </w:p>
    <w:p>
      <w:pPr>
        <w:spacing w:before="0" w:after="120"/>
      </w:pPr>
      <w:r>
        <w:rPr>
          <w:b/>
          <w:color w:val="1F2937"/>
          <w:sz w:val="36"/>
        </w:rPr>
        <w:t>Document Control</w:t>
      </w:r>
    </w:p>
    <w:p>
      <w:pPr>
        <w:spacing w:before="0" w:after="160"/>
      </w:pPr>
      <w:r>
        <w:rPr>
          <w:color w:val="4B5563"/>
          <w:sz w:val="20"/>
        </w:rPr>
        <w:t>Use this page to confirm you are using the correct student guide for the course delivery.</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2592"/>
            <w:vAlign w:val="top"/>
            <w:shd w:fill="0F62FE"/>
          </w:tcPr>
          <w:p>
            <w:r/>
            <w:r>
              <w:rPr>
                <w:b/>
                <w:color w:val="FFFFFF"/>
                <w:sz w:val="17"/>
              </w:rPr>
              <w:t>Field</w:t>
            </w:r>
          </w:p>
        </w:tc>
        <w:tc>
          <w:tcPr>
            <w:tcW w:type="dxa" w:w="7920"/>
            <w:vAlign w:val="top"/>
            <w:shd w:fill="0F62FE"/>
          </w:tcPr>
          <w:p>
            <w:r/>
            <w:r>
              <w:rPr>
                <w:b/>
                <w:color w:val="FFFFFF"/>
                <w:sz w:val="17"/>
              </w:rPr>
              <w:t>Value</w:t>
            </w:r>
          </w:p>
        </w:tc>
      </w:tr>
      <w:tr>
        <w:tc>
          <w:tcPr>
            <w:tcW w:type="dxa" w:w="2592"/>
            <w:vAlign w:val="top"/>
            <w:shd w:fill="F8FAFC"/>
          </w:tcPr>
          <w:p>
            <w:r/>
            <w:r>
              <w:rPr>
                <w:b/>
                <w:sz w:val="17"/>
              </w:rPr>
              <w:t>Document title</w:t>
            </w:r>
          </w:p>
        </w:tc>
        <w:tc>
          <w:tcPr>
            <w:tcW w:type="dxa" w:w="7920"/>
            <w:vAlign w:val="top"/>
            <w:shd w:fill="FFFFFF"/>
          </w:tcPr>
          <w:p>
            <w:r/>
            <w:r>
              <w:rPr>
                <w:b w:val="0"/>
                <w:sz w:val="17"/>
              </w:rPr>
              <w:t>CESE323 Student Course Guide</w:t>
            </w:r>
          </w:p>
        </w:tc>
      </w:tr>
      <w:tr>
        <w:tc>
          <w:tcPr>
            <w:tcW w:type="dxa" w:w="2592"/>
            <w:vAlign w:val="top"/>
            <w:shd w:fill="F8FAFC"/>
          </w:tcPr>
          <w:p>
            <w:r/>
            <w:r>
              <w:rPr>
                <w:b/>
                <w:sz w:val="17"/>
              </w:rPr>
              <w:t>Course title</w:t>
            </w:r>
          </w:p>
        </w:tc>
        <w:tc>
          <w:tcPr>
            <w:tcW w:type="dxa" w:w="7920"/>
            <w:vAlign w:val="top"/>
            <w:shd w:fill="FFFFFF"/>
          </w:tcPr>
          <w:p>
            <w:r/>
            <w:r>
              <w:rPr>
                <w:b w:val="0"/>
                <w:sz w:val="17"/>
              </w:rPr>
              <w:t>Cloud Security Envisioning &amp; Strategy</w:t>
            </w:r>
          </w:p>
        </w:tc>
      </w:tr>
      <w:tr>
        <w:tc>
          <w:tcPr>
            <w:tcW w:type="dxa" w:w="2592"/>
            <w:vAlign w:val="top"/>
            <w:shd w:fill="F8FAFC"/>
          </w:tcPr>
          <w:p>
            <w:r/>
            <w:r>
              <w:rPr>
                <w:b/>
                <w:sz w:val="17"/>
              </w:rPr>
              <w:t>Release</w:t>
            </w:r>
          </w:p>
        </w:tc>
        <w:tc>
          <w:tcPr>
            <w:tcW w:type="dxa" w:w="7920"/>
            <w:vAlign w:val="top"/>
            <w:shd w:fill="FFFFFF"/>
          </w:tcPr>
          <w:p>
            <w:r/>
            <w:r>
              <w:rPr>
                <w:b w:val="0"/>
                <w:sz w:val="17"/>
              </w:rPr>
              <w:t>ERC1.0</w:t>
            </w:r>
          </w:p>
        </w:tc>
      </w:tr>
      <w:tr>
        <w:tc>
          <w:tcPr>
            <w:tcW w:type="dxa" w:w="2592"/>
            <w:vAlign w:val="top"/>
            <w:shd w:fill="F8FAFC"/>
          </w:tcPr>
          <w:p>
            <w:r/>
            <w:r>
              <w:rPr>
                <w:b/>
                <w:sz w:val="17"/>
              </w:rPr>
              <w:t>Intended audience</w:t>
            </w:r>
          </w:p>
        </w:tc>
        <w:tc>
          <w:tcPr>
            <w:tcW w:type="dxa" w:w="7920"/>
            <w:vAlign w:val="top"/>
            <w:shd w:fill="FFFFFF"/>
          </w:tcPr>
          <w:p>
            <w:r/>
            <w:r>
              <w:rPr>
                <w:b w:val="0"/>
                <w:sz w:val="17"/>
              </w:rPr>
              <w:t>Students and delegates attending the workshop or self-paced companion course</w:t>
            </w:r>
          </w:p>
        </w:tc>
      </w:tr>
      <w:tr>
        <w:tc>
          <w:tcPr>
            <w:tcW w:type="dxa" w:w="2592"/>
            <w:vAlign w:val="top"/>
            <w:shd w:fill="F8FAFC"/>
          </w:tcPr>
          <w:p>
            <w:r/>
            <w:r>
              <w:rPr>
                <w:b/>
                <w:sz w:val="17"/>
              </w:rPr>
              <w:t>Primary source basis</w:t>
            </w:r>
          </w:p>
        </w:tc>
        <w:tc>
          <w:tcPr>
            <w:tcW w:type="dxa" w:w="7920"/>
            <w:vAlign w:val="top"/>
            <w:shd w:fill="FFFFFF"/>
          </w:tcPr>
          <w:p>
            <w:r/>
            <w:r>
              <w:rPr>
                <w:b w:val="0"/>
                <w:sz w:val="17"/>
              </w:rPr>
              <w:t>Workshop syllabus, Microsoft Learn collection, and CESE323 pre-course lab readiness requirements</w:t>
            </w:r>
          </w:p>
        </w:tc>
      </w:tr>
      <w:tr>
        <w:tc>
          <w:tcPr>
            <w:tcW w:type="dxa" w:w="2592"/>
            <w:vAlign w:val="top"/>
            <w:shd w:fill="F8FAFC"/>
          </w:tcPr>
          <w:p>
            <w:r/>
            <w:r>
              <w:rPr>
                <w:b/>
                <w:sz w:val="17"/>
              </w:rPr>
              <w:t>Document purpose</w:t>
            </w:r>
          </w:p>
        </w:tc>
        <w:tc>
          <w:tcPr>
            <w:tcW w:type="dxa" w:w="7920"/>
            <w:vAlign w:val="top"/>
            <w:shd w:fill="FFFFFF"/>
          </w:tcPr>
          <w:p>
            <w:r/>
            <w:r>
              <w:rPr>
                <w:b w:val="0"/>
                <w:sz w:val="17"/>
              </w:rPr>
              <w:t>Provide students with the course context, expectations, agenda, lab readiness requirements, learning path, assessment approach, and post-course actions</w:t>
            </w:r>
          </w:p>
        </w:tc>
      </w:tr>
    </w:tbl>
    <w:p/>
    <w:tbl>
      <w:tblPr>
        <w:tblW w:type="auto" w:w="0"/>
        <w:jc w:val="center"/>
        <w:tblLayout w:type="autofit"/>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224"/>
      </w:tblGrid>
      <w:tr>
        <w:tc>
          <w:tcPr>
            <w:tcW w:type="dxa" w:w="10224"/>
            <w:shd w:fill="FFF7ED"/>
          </w:tcPr>
          <w:p>
            <w:pPr>
              <w:spacing w:after="60"/>
            </w:pPr>
            <w:r>
              <w:rPr>
                <w:b/>
                <w:color w:val="1F2937"/>
                <w:sz w:val="20"/>
              </w:rPr>
              <w:t>Important</w:t>
            </w:r>
          </w:p>
          <w:p>
            <w:pPr>
              <w:spacing w:after="0"/>
            </w:pPr>
            <w:r>
              <w:rPr>
                <w:sz w:val="18"/>
              </w:rPr>
              <w:t>This student guide is not a replacement for the lab guide. The lab guide contains step-by-step exercise instructions, evidence capture requirements, and any environment-specific details provided by the instructor.</w:t>
            </w:r>
          </w:p>
        </w:tc>
      </w:tr>
    </w:tbl>
    <w:p/>
    <w:p>
      <w:pPr>
        <w:spacing w:before="60" w:after="0"/>
      </w:pPr>
      <w:r>
        <w:rPr>
          <w:b/>
          <w:color w:val="0F62FE"/>
          <w:sz w:val="16"/>
        </w:rPr>
        <w:t>GUIDE MAP</w:t>
      </w:r>
    </w:p>
    <w:p>
      <w:pPr>
        <w:spacing w:before="0" w:after="120"/>
      </w:pPr>
      <w:r>
        <w:rPr>
          <w:b/>
          <w:color w:val="1F2937"/>
          <w:sz w:val="36"/>
        </w:rPr>
        <w:t>How to Use This Guide</w:t>
      </w:r>
    </w:p>
    <w:p>
      <w:pPr>
        <w:spacing w:before="0" w:after="160"/>
      </w:pPr>
      <w:r>
        <w:rPr>
          <w:color w:val="4B5563"/>
          <w:sz w:val="20"/>
        </w:rPr>
        <w:t>Read this guide before class, keep it open during the workshop, and return to the checklists after the labs.</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3456"/>
            <w:vAlign w:val="top"/>
            <w:shd w:fill="0F62FE"/>
          </w:tcPr>
          <w:p>
            <w:r/>
            <w:r>
              <w:rPr>
                <w:b/>
                <w:color w:val="FFFFFF"/>
                <w:sz w:val="17"/>
              </w:rPr>
              <w:t>Section</w:t>
            </w:r>
          </w:p>
        </w:tc>
        <w:tc>
          <w:tcPr>
            <w:tcW w:type="dxa" w:w="7200"/>
            <w:vAlign w:val="top"/>
            <w:shd w:fill="0F62FE"/>
          </w:tcPr>
          <w:p>
            <w:r/>
            <w:r>
              <w:rPr>
                <w:b/>
                <w:color w:val="FFFFFF"/>
                <w:sz w:val="17"/>
              </w:rPr>
              <w:t>What it helps you do</w:t>
            </w:r>
          </w:p>
        </w:tc>
      </w:tr>
      <w:tr>
        <w:tc>
          <w:tcPr>
            <w:tcW w:type="dxa" w:w="3456"/>
            <w:vAlign w:val="top"/>
            <w:shd w:fill="F8FAFC"/>
          </w:tcPr>
          <w:p>
            <w:r/>
            <w:r>
              <w:rPr>
                <w:b/>
                <w:sz w:val="17"/>
              </w:rPr>
              <w:t>1. Course overview</w:t>
            </w:r>
          </w:p>
        </w:tc>
        <w:tc>
          <w:tcPr>
            <w:tcW w:type="dxa" w:w="7200"/>
            <w:vAlign w:val="top"/>
            <w:shd w:fill="FFFFFF"/>
          </w:tcPr>
          <w:p>
            <w:r/>
            <w:r>
              <w:rPr>
                <w:b w:val="0"/>
                <w:sz w:val="17"/>
              </w:rPr>
              <w:t>Understand the course purpose, scope, and expected outcomes.</w:t>
            </w:r>
          </w:p>
        </w:tc>
      </w:tr>
      <w:tr>
        <w:tc>
          <w:tcPr>
            <w:tcW w:type="dxa" w:w="3456"/>
            <w:vAlign w:val="top"/>
            <w:shd w:fill="F8FAFC"/>
          </w:tcPr>
          <w:p>
            <w:r/>
            <w:r>
              <w:rPr>
                <w:b/>
                <w:sz w:val="17"/>
              </w:rPr>
              <w:t>2. Learning outcomes</w:t>
            </w:r>
          </w:p>
        </w:tc>
        <w:tc>
          <w:tcPr>
            <w:tcW w:type="dxa" w:w="7200"/>
            <w:vAlign w:val="top"/>
            <w:shd w:fill="FFFFFF"/>
          </w:tcPr>
          <w:p>
            <w:r/>
            <w:r>
              <w:rPr>
                <w:b w:val="0"/>
                <w:sz w:val="17"/>
              </w:rPr>
              <w:t>Know what you should be able to explain, configure, review, and recommend.</w:t>
            </w:r>
          </w:p>
        </w:tc>
      </w:tr>
      <w:tr>
        <w:tc>
          <w:tcPr>
            <w:tcW w:type="dxa" w:w="3456"/>
            <w:vAlign w:val="top"/>
            <w:shd w:fill="F8FAFC"/>
          </w:tcPr>
          <w:p>
            <w:r/>
            <w:r>
              <w:rPr>
                <w:b/>
                <w:sz w:val="17"/>
              </w:rPr>
              <w:t>3. Audience and prerequisites</w:t>
            </w:r>
          </w:p>
        </w:tc>
        <w:tc>
          <w:tcPr>
            <w:tcW w:type="dxa" w:w="7200"/>
            <w:vAlign w:val="top"/>
            <w:shd w:fill="FFFFFF"/>
          </w:tcPr>
          <w:p>
            <w:r/>
            <w:r>
              <w:rPr>
                <w:b w:val="0"/>
                <w:sz w:val="17"/>
              </w:rPr>
              <w:t>Confirm that your baseline skills and accounts are ready.</w:t>
            </w:r>
          </w:p>
        </w:tc>
      </w:tr>
      <w:tr>
        <w:tc>
          <w:tcPr>
            <w:tcW w:type="dxa" w:w="3456"/>
            <w:vAlign w:val="top"/>
            <w:shd w:fill="F8FAFC"/>
          </w:tcPr>
          <w:p>
            <w:r/>
            <w:r>
              <w:rPr>
                <w:b/>
                <w:sz w:val="17"/>
              </w:rPr>
              <w:t>4. Course journey and agenda</w:t>
            </w:r>
          </w:p>
        </w:tc>
        <w:tc>
          <w:tcPr>
            <w:tcW w:type="dxa" w:w="7200"/>
            <w:vAlign w:val="top"/>
            <w:shd w:fill="FFFFFF"/>
          </w:tcPr>
          <w:p>
            <w:r/>
            <w:r>
              <w:rPr>
                <w:b w:val="0"/>
                <w:sz w:val="17"/>
              </w:rPr>
              <w:t>Follow the one-day learning flow from strategy to operational review.</w:t>
            </w:r>
          </w:p>
        </w:tc>
      </w:tr>
      <w:tr>
        <w:tc>
          <w:tcPr>
            <w:tcW w:type="dxa" w:w="3456"/>
            <w:vAlign w:val="top"/>
            <w:shd w:fill="F8FAFC"/>
          </w:tcPr>
          <w:p>
            <w:r/>
            <w:r>
              <w:rPr>
                <w:b/>
                <w:sz w:val="17"/>
              </w:rPr>
              <w:t>5. Lab environment and safety</w:t>
            </w:r>
          </w:p>
        </w:tc>
        <w:tc>
          <w:tcPr>
            <w:tcW w:type="dxa" w:w="7200"/>
            <w:vAlign w:val="top"/>
            <w:shd w:fill="FFFFFF"/>
          </w:tcPr>
          <w:p>
            <w:r/>
            <w:r>
              <w:rPr>
                <w:b w:val="0"/>
                <w:sz w:val="17"/>
              </w:rPr>
              <w:t>Understand lab permissions, data handling, change control, and cleanup rules.</w:t>
            </w:r>
          </w:p>
        </w:tc>
      </w:tr>
      <w:tr>
        <w:tc>
          <w:tcPr>
            <w:tcW w:type="dxa" w:w="3456"/>
            <w:vAlign w:val="top"/>
            <w:shd w:fill="F8FAFC"/>
          </w:tcPr>
          <w:p>
            <w:r/>
            <w:r>
              <w:rPr>
                <w:b/>
                <w:sz w:val="17"/>
              </w:rPr>
              <w:t>6. Workload protection tracks</w:t>
            </w:r>
          </w:p>
        </w:tc>
        <w:tc>
          <w:tcPr>
            <w:tcW w:type="dxa" w:w="7200"/>
            <w:vAlign w:val="top"/>
            <w:shd w:fill="FFFFFF"/>
          </w:tcPr>
          <w:p>
            <w:r/>
            <w:r>
              <w:rPr>
                <w:b w:val="0"/>
                <w:sz w:val="17"/>
              </w:rPr>
              <w:t>Prepare for the selected Defender workload modules.</w:t>
            </w:r>
          </w:p>
        </w:tc>
      </w:tr>
      <w:tr>
        <w:tc>
          <w:tcPr>
            <w:tcW w:type="dxa" w:w="3456"/>
            <w:vAlign w:val="top"/>
            <w:shd w:fill="F8FAFC"/>
          </w:tcPr>
          <w:p>
            <w:r/>
            <w:r>
              <w:rPr>
                <w:b/>
                <w:sz w:val="17"/>
              </w:rPr>
              <w:t>7. Assessment and evidence</w:t>
            </w:r>
          </w:p>
        </w:tc>
        <w:tc>
          <w:tcPr>
            <w:tcW w:type="dxa" w:w="7200"/>
            <w:vAlign w:val="top"/>
            <w:shd w:fill="FFFFFF"/>
          </w:tcPr>
          <w:p>
            <w:r/>
            <w:r>
              <w:rPr>
                <w:b w:val="0"/>
                <w:sz w:val="17"/>
              </w:rPr>
              <w:t>Know how participation, lab evidence, and scenario work are evaluated.</w:t>
            </w:r>
          </w:p>
        </w:tc>
      </w:tr>
      <w:tr>
        <w:tc>
          <w:tcPr>
            <w:tcW w:type="dxa" w:w="3456"/>
            <w:vAlign w:val="top"/>
            <w:shd w:fill="F8FAFC"/>
          </w:tcPr>
          <w:p>
            <w:r/>
            <w:r>
              <w:rPr>
                <w:b/>
                <w:sz w:val="17"/>
              </w:rPr>
              <w:t>8. Study workflow</w:t>
            </w:r>
          </w:p>
        </w:tc>
        <w:tc>
          <w:tcPr>
            <w:tcW w:type="dxa" w:w="7200"/>
            <w:vAlign w:val="top"/>
            <w:shd w:fill="FFFFFF"/>
          </w:tcPr>
          <w:p>
            <w:r/>
            <w:r>
              <w:rPr>
                <w:b w:val="0"/>
                <w:sz w:val="17"/>
              </w:rPr>
              <w:t>Plan pre-course, in-class, and post-course learning activities.</w:t>
            </w:r>
          </w:p>
        </w:tc>
      </w:tr>
      <w:tr>
        <w:tc>
          <w:tcPr>
            <w:tcW w:type="dxa" w:w="3456"/>
            <w:vAlign w:val="top"/>
            <w:shd w:fill="F8FAFC"/>
          </w:tcPr>
          <w:p>
            <w:r/>
            <w:r>
              <w:rPr>
                <w:b/>
                <w:sz w:val="17"/>
              </w:rPr>
              <w:t>9. Glossary</w:t>
            </w:r>
          </w:p>
        </w:tc>
        <w:tc>
          <w:tcPr>
            <w:tcW w:type="dxa" w:w="7200"/>
            <w:vAlign w:val="top"/>
            <w:shd w:fill="FFFFFF"/>
          </w:tcPr>
          <w:p>
            <w:r/>
            <w:r>
              <w:rPr>
                <w:b w:val="0"/>
                <w:sz w:val="17"/>
              </w:rPr>
              <w:t>Review key terms used throughout the course.</w:t>
            </w:r>
          </w:p>
        </w:tc>
      </w:tr>
      <w:tr>
        <w:tc>
          <w:tcPr>
            <w:tcW w:type="dxa" w:w="3456"/>
            <w:vAlign w:val="top"/>
            <w:shd w:fill="F8FAFC"/>
          </w:tcPr>
          <w:p>
            <w:r/>
            <w:r>
              <w:rPr>
                <w:b/>
                <w:sz w:val="17"/>
              </w:rPr>
              <w:t>Appendices</w:t>
            </w:r>
          </w:p>
        </w:tc>
        <w:tc>
          <w:tcPr>
            <w:tcW w:type="dxa" w:w="7200"/>
            <w:vAlign w:val="top"/>
            <w:shd w:fill="FFFFFF"/>
          </w:tcPr>
          <w:p>
            <w:r/>
            <w:r>
              <w:rPr>
                <w:b w:val="0"/>
                <w:sz w:val="17"/>
              </w:rPr>
              <w:t>Use checklists for readiness, portals, lab naming, cleanup, and notes.</w:t>
            </w:r>
          </w:p>
        </w:tc>
      </w:tr>
    </w:tbl>
    <w:p/>
    <w:p>
      <w:r>
        <w:br w:type="page"/>
      </w:r>
    </w:p>
    <w:p>
      <w:pPr>
        <w:spacing w:before="60" w:after="0"/>
      </w:pPr>
      <w:r>
        <w:rPr>
          <w:b/>
          <w:color w:val="0F62FE"/>
          <w:sz w:val="16"/>
        </w:rPr>
        <w:t>SECTION 1</w:t>
      </w:r>
    </w:p>
    <w:p>
      <w:pPr>
        <w:spacing w:before="0" w:after="120"/>
      </w:pPr>
      <w:r>
        <w:rPr>
          <w:b/>
          <w:color w:val="1F2937"/>
          <w:sz w:val="36"/>
        </w:rPr>
        <w:t>Course Overview</w:t>
      </w:r>
    </w:p>
    <w:p>
      <w:pPr>
        <w:spacing w:before="0" w:after="160"/>
      </w:pPr>
      <w:r>
        <w:rPr>
          <w:color w:val="4B5563"/>
          <w:sz w:val="20"/>
        </w:rPr>
        <w:t>CESE323 is designed to bridge strategic cloud security planning and hands-on Microsoft Defender for Cloud implementation.</w:t>
      </w:r>
    </w:p>
    <w:p>
      <w:pPr>
        <w:pBdr>
          <w:bottom w:val="single" w:sz="8" w:space="1" w:color="0F62FE"/>
        </w:pBdr>
      </w:pPr>
    </w:p>
    <w:p>
      <w:r>
        <w:rPr>
          <w:b/>
        </w:rPr>
        <w:t xml:space="preserve">CESE323 ERC1.0 - Cloud Security Envisioning &amp; Strategy </w:t>
      </w:r>
      <w:r>
        <w:t>helps students translate cloud security priorities into practical posture management, workload protection, threat reduction, and operational readiness activities. The workshop is structured around Microsoft Defender for Cloud, Microsoft Defender portal, Microsoft Entra ID, and related Microsoft Learn modules.</w:t>
      </w:r>
    </w:p>
    <w:p>
      <w:r>
        <w:rPr>
          <w:b/>
        </w:rPr>
        <w:t xml:space="preserve">The course is intentionally outcome-led. </w:t>
      </w:r>
      <w:r>
        <w:t>Students do not only review product features; they learn how to use a cloud security architecture conversation to prioritize risk, identify misconfiguration, choose workload protections, plan remediation, and operate safely in lab or customer environments.</w:t>
      </w:r>
    </w:p>
    <w:tbl>
      <w:tblPr>
        <w:tblW w:type="auto" w:w="0"/>
        <w:jc w:val="center"/>
        <w:tblLayout w:type="autofit"/>
        <w:tblLook w:firstColumn="1" w:firstRow="1" w:lastColumn="0" w:lastRow="0" w:noHBand="0" w:noVBand="1" w:val="04A0"/>
        <w:tblBorders>
          <w:top w:val="single" w:sz="8" w:space="0" w:color="0F62FE"/>
          <w:left w:val="single" w:sz="8" w:space="0" w:color="0F62FE"/>
          <w:bottom w:val="single" w:sz="8" w:space="0" w:color="0F62FE"/>
          <w:right w:val="single" w:sz="8" w:space="0" w:color="0F62FE"/>
          <w:insideH w:val="single" w:sz="8" w:space="0" w:color="0F62FE"/>
          <w:insideV w:val="single" w:sz="8" w:space="0" w:color="0F62FE"/>
        </w:tblBorders>
      </w:tblPr>
      <w:tblGrid>
        <w:gridCol w:w="10224"/>
      </w:tblGrid>
      <w:tr>
        <w:tc>
          <w:tcPr>
            <w:tcW w:type="dxa" w:w="10224"/>
            <w:shd w:fill="EAF2FF"/>
          </w:tcPr>
          <w:p>
            <w:pPr>
              <w:spacing w:after="60"/>
            </w:pPr>
            <w:r>
              <w:rPr>
                <w:b/>
                <w:color w:val="1F2937"/>
                <w:sz w:val="20"/>
              </w:rPr>
              <w:t>Course positioning</w:t>
            </w:r>
          </w:p>
          <w:p>
            <w:pPr>
              <w:spacing w:after="0"/>
            </w:pPr>
            <w:r>
              <w:rPr>
                <w:sz w:val="18"/>
              </w:rPr>
              <w:t>This course is best treated as a strategic and technical workshop. It supports security envisioning, architecture alignment, Defender for Cloud configuration, and operational review. It is not positioned as a full certification bootcamp, although several Microsoft Learn items align with SC-900, SC-100, SC-200, and AI security learning areas.</w:t>
            </w:r>
          </w:p>
        </w:tc>
      </w:tr>
    </w:tbl>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2592"/>
            <w:vAlign w:val="top"/>
            <w:shd w:fill="0F62FE"/>
          </w:tcPr>
          <w:p>
            <w:r/>
            <w:r>
              <w:rPr>
                <w:b/>
                <w:color w:val="FFFFFF"/>
                <w:sz w:val="17"/>
              </w:rPr>
              <w:t>Dimension</w:t>
            </w:r>
          </w:p>
        </w:tc>
        <w:tc>
          <w:tcPr>
            <w:tcW w:type="dxa" w:w="8064"/>
            <w:vAlign w:val="top"/>
            <w:shd w:fill="0F62FE"/>
          </w:tcPr>
          <w:p>
            <w:r/>
            <w:r>
              <w:rPr>
                <w:b/>
                <w:color w:val="FFFFFF"/>
                <w:sz w:val="17"/>
              </w:rPr>
              <w:t>Course scope</w:t>
            </w:r>
          </w:p>
        </w:tc>
      </w:tr>
      <w:tr>
        <w:tc>
          <w:tcPr>
            <w:tcW w:type="dxa" w:w="2592"/>
            <w:vAlign w:val="top"/>
            <w:shd w:fill="F8FAFC"/>
          </w:tcPr>
          <w:p>
            <w:r/>
            <w:r>
              <w:rPr>
                <w:b/>
                <w:sz w:val="17"/>
              </w:rPr>
              <w:t>Primary focus</w:t>
            </w:r>
          </w:p>
        </w:tc>
        <w:tc>
          <w:tcPr>
            <w:tcW w:type="dxa" w:w="8064"/>
            <w:vAlign w:val="top"/>
            <w:shd w:fill="FFFFFF"/>
          </w:tcPr>
          <w:p>
            <w:r/>
            <w:r>
              <w:rPr>
                <w:b w:val="0"/>
                <w:sz w:val="17"/>
              </w:rPr>
              <w:t>Cloud security posture, Microsoft Defender for Cloud, CSPM, workload protection, AI security, identity-aware controls, and remediation planning</w:t>
            </w:r>
          </w:p>
        </w:tc>
      </w:tr>
      <w:tr>
        <w:tc>
          <w:tcPr>
            <w:tcW w:type="dxa" w:w="2592"/>
            <w:vAlign w:val="top"/>
            <w:shd w:fill="F8FAFC"/>
          </w:tcPr>
          <w:p>
            <w:r/>
            <w:r>
              <w:rPr>
                <w:b/>
                <w:sz w:val="17"/>
              </w:rPr>
              <w:t>Delivery duration</w:t>
            </w:r>
          </w:p>
        </w:tc>
        <w:tc>
          <w:tcPr>
            <w:tcW w:type="dxa" w:w="8064"/>
            <w:vAlign w:val="top"/>
            <w:shd w:fill="FFFFFF"/>
          </w:tcPr>
          <w:p>
            <w:r/>
            <w:r>
              <w:rPr>
                <w:b w:val="0"/>
                <w:sz w:val="17"/>
              </w:rPr>
              <w:t>One day in instructor-led format, with optional self-paced Microsoft Learn extension</w:t>
            </w:r>
          </w:p>
        </w:tc>
      </w:tr>
      <w:tr>
        <w:tc>
          <w:tcPr>
            <w:tcW w:type="dxa" w:w="2592"/>
            <w:vAlign w:val="top"/>
            <w:shd w:fill="F8FAFC"/>
          </w:tcPr>
          <w:p>
            <w:r/>
            <w:r>
              <w:rPr>
                <w:b/>
                <w:sz w:val="17"/>
              </w:rPr>
              <w:t>Hands-on depth</w:t>
            </w:r>
          </w:p>
        </w:tc>
        <w:tc>
          <w:tcPr>
            <w:tcW w:type="dxa" w:w="8064"/>
            <w:vAlign w:val="top"/>
            <w:shd w:fill="FFFFFF"/>
          </w:tcPr>
          <w:p>
            <w:r/>
            <w:r>
              <w:rPr>
                <w:b w:val="0"/>
                <w:sz w:val="17"/>
              </w:rPr>
              <w:t>Portal-led configuration, policy assignment, posture review, selected Defender workload modules, and live/demonstration scenarios</w:t>
            </w:r>
          </w:p>
        </w:tc>
      </w:tr>
      <w:tr>
        <w:tc>
          <w:tcPr>
            <w:tcW w:type="dxa" w:w="2592"/>
            <w:vAlign w:val="top"/>
            <w:shd w:fill="F8FAFC"/>
          </w:tcPr>
          <w:p>
            <w:r/>
            <w:r>
              <w:rPr>
                <w:b/>
                <w:sz w:val="17"/>
              </w:rPr>
              <w:t>Recommended lab model</w:t>
            </w:r>
          </w:p>
        </w:tc>
        <w:tc>
          <w:tcPr>
            <w:tcW w:type="dxa" w:w="8064"/>
            <w:vAlign w:val="top"/>
            <w:shd w:fill="FFFFFF"/>
          </w:tcPr>
          <w:p>
            <w:r/>
            <w:r>
              <w:rPr>
                <w:b w:val="0"/>
                <w:sz w:val="17"/>
              </w:rPr>
              <w:t>Instructor-controlled Azure tenant or approved lab subscription with student-specific resource groups</w:t>
            </w:r>
          </w:p>
        </w:tc>
      </w:tr>
      <w:tr>
        <w:tc>
          <w:tcPr>
            <w:tcW w:type="dxa" w:w="2592"/>
            <w:vAlign w:val="top"/>
            <w:shd w:fill="F8FAFC"/>
          </w:tcPr>
          <w:p>
            <w:r/>
            <w:r>
              <w:rPr>
                <w:b/>
                <w:sz w:val="17"/>
              </w:rPr>
              <w:t>Assessment model</w:t>
            </w:r>
          </w:p>
        </w:tc>
        <w:tc>
          <w:tcPr>
            <w:tcW w:type="dxa" w:w="8064"/>
            <w:vAlign w:val="top"/>
            <w:shd w:fill="FFFFFF"/>
          </w:tcPr>
          <w:p>
            <w:r/>
            <w:r>
              <w:rPr>
                <w:b w:val="0"/>
                <w:sz w:val="17"/>
              </w:rPr>
              <w:t>Knowledge checks, lab evidence, scenario discussion, and optional capstone-style operational review</w:t>
            </w:r>
          </w:p>
        </w:tc>
      </w:tr>
    </w:tbl>
    <w:p/>
    <w:p>
      <w:pPr>
        <w:spacing w:before="60" w:after="0"/>
      </w:pPr>
      <w:r>
        <w:rPr>
          <w:b/>
          <w:color w:val="0F62FE"/>
          <w:sz w:val="16"/>
        </w:rPr>
        <w:t>SECTION 2</w:t>
      </w:r>
    </w:p>
    <w:p>
      <w:pPr>
        <w:spacing w:before="0" w:after="120"/>
      </w:pPr>
      <w:r>
        <w:rPr>
          <w:b/>
          <w:color w:val="1F2937"/>
          <w:sz w:val="36"/>
        </w:rPr>
        <w:t>Learning Outcomes</w:t>
      </w:r>
    </w:p>
    <w:p>
      <w:pPr>
        <w:spacing w:before="0" w:after="160"/>
      </w:pPr>
      <w:r>
        <w:rPr>
          <w:color w:val="4B5563"/>
          <w:sz w:val="20"/>
        </w:rPr>
        <w:t>The student outcomes are grouped into strategic, technical, and operational capabilities.</w:t>
      </w:r>
    </w:p>
    <w:p>
      <w:pPr>
        <w:pBdr>
          <w:bottom w:val="single" w:sz="8" w:space="1" w:color="0F62FE"/>
        </w:pBdr>
      </w:pPr>
    </w:p>
    <w:p>
      <w:pPr>
        <w:pStyle w:val="ListBullet"/>
      </w:pPr>
      <w:r>
        <w:rPr>
          <w:b/>
        </w:rPr>
        <w:t xml:space="preserve">Strategic alignment: </w:t>
      </w:r>
      <w:r>
        <w:t>Define cloud security goals, prioritize risk reduction, and map technical actions to business outcomes.</w:t>
      </w:r>
    </w:p>
    <w:p>
      <w:pPr>
        <w:pStyle w:val="ListBullet"/>
      </w:pPr>
      <w:r>
        <w:rPr>
          <w:b/>
        </w:rPr>
        <w:t xml:space="preserve">Unified visibility: </w:t>
      </w:r>
      <w:r>
        <w:t>Explain how Microsoft Defender for Cloud and Microsoft Defender portal contribute to a consolidated security view.</w:t>
      </w:r>
    </w:p>
    <w:p>
      <w:pPr>
        <w:pStyle w:val="ListBullet"/>
      </w:pPr>
      <w:r>
        <w:rPr>
          <w:b/>
        </w:rPr>
        <w:t xml:space="preserve">Threat reduction: </w:t>
      </w:r>
      <w:r>
        <w:t>Identify misconfigurations, over-privileged identities, attack paths, vulnerable resources, and remediation opportunities.</w:t>
      </w:r>
    </w:p>
    <w:p>
      <w:pPr>
        <w:pStyle w:val="ListBullet"/>
      </w:pPr>
      <w:r>
        <w:rPr>
          <w:b/>
        </w:rPr>
        <w:t xml:space="preserve">Workload hardening: </w:t>
      </w:r>
      <w:r>
        <w:t>Describe and select workload protections for storage, containers, applications, AI services, and related cloud workloads.</w:t>
      </w:r>
    </w:p>
    <w:p>
      <w:pPr>
        <w:pStyle w:val="ListBullet"/>
      </w:pPr>
      <w:r>
        <w:rPr>
          <w:b/>
        </w:rPr>
        <w:t xml:space="preserve">AI security awareness: </w:t>
      </w:r>
      <w:r>
        <w:t>Explain common AI workload risks, including prompt injection, data leakage, unsafe model behavior, and identity/control-plane exposure.</w:t>
      </w:r>
    </w:p>
    <w:p>
      <w:pPr>
        <w:pStyle w:val="ListBullet"/>
      </w:pPr>
      <w:r>
        <w:rPr>
          <w:b/>
        </w:rPr>
        <w:t xml:space="preserve">Operational readiness: </w:t>
      </w:r>
      <w:r>
        <w:t>Prepare for real-world rollout by considering permissions, costs, policies, change windows, rollback, and post-course cleanup.</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5040"/>
            <w:vAlign w:val="top"/>
            <w:shd w:fill="0F62FE"/>
          </w:tcPr>
          <w:p>
            <w:r/>
            <w:r>
              <w:rPr>
                <w:b/>
                <w:color w:val="FFFFFF"/>
                <w:sz w:val="17"/>
              </w:rPr>
              <w:t>After this course, you should be able to...</w:t>
            </w:r>
          </w:p>
        </w:tc>
        <w:tc>
          <w:tcPr>
            <w:tcW w:type="dxa" w:w="5616"/>
            <w:vAlign w:val="top"/>
            <w:shd w:fill="0F62FE"/>
          </w:tcPr>
          <w:p>
            <w:r/>
            <w:r>
              <w:rPr>
                <w:b/>
                <w:color w:val="FFFFFF"/>
                <w:sz w:val="17"/>
              </w:rPr>
              <w:t>Evidence of achievement</w:t>
            </w:r>
          </w:p>
        </w:tc>
      </w:tr>
      <w:tr>
        <w:tc>
          <w:tcPr>
            <w:tcW w:type="dxa" w:w="5040"/>
            <w:vAlign w:val="top"/>
            <w:shd w:fill="F8FAFC"/>
          </w:tcPr>
          <w:p>
            <w:r/>
            <w:r>
              <w:rPr>
                <w:b/>
                <w:sz w:val="17"/>
              </w:rPr>
              <w:t>Interpret Secure Score, recommendations, inventory, compliance, and workload protection coverage</w:t>
            </w:r>
          </w:p>
        </w:tc>
        <w:tc>
          <w:tcPr>
            <w:tcW w:type="dxa" w:w="5616"/>
            <w:vAlign w:val="top"/>
            <w:shd w:fill="FFFFFF"/>
          </w:tcPr>
          <w:p>
            <w:r/>
            <w:r>
              <w:rPr>
                <w:b w:val="0"/>
                <w:sz w:val="17"/>
              </w:rPr>
              <w:t>You can explain which findings should be prioritized and why.</w:t>
            </w:r>
          </w:p>
        </w:tc>
      </w:tr>
      <w:tr>
        <w:tc>
          <w:tcPr>
            <w:tcW w:type="dxa" w:w="5040"/>
            <w:vAlign w:val="top"/>
            <w:shd w:fill="F8FAFC"/>
          </w:tcPr>
          <w:p>
            <w:r/>
            <w:r>
              <w:rPr>
                <w:b/>
                <w:sz w:val="17"/>
              </w:rPr>
              <w:t>Select two suitable workload protection tracks for a given scenario</w:t>
            </w:r>
          </w:p>
        </w:tc>
        <w:tc>
          <w:tcPr>
            <w:tcW w:type="dxa" w:w="5616"/>
            <w:vAlign w:val="top"/>
            <w:shd w:fill="FFFFFF"/>
          </w:tcPr>
          <w:p>
            <w:r/>
            <w:r>
              <w:rPr>
                <w:b w:val="0"/>
                <w:sz w:val="17"/>
              </w:rPr>
              <w:t>You can justify Defender for Storage, Containers, App Service, or AI Services based on risk and workload profile.</w:t>
            </w:r>
          </w:p>
        </w:tc>
      </w:tr>
      <w:tr>
        <w:tc>
          <w:tcPr>
            <w:tcW w:type="dxa" w:w="5040"/>
            <w:vAlign w:val="top"/>
            <w:shd w:fill="F8FAFC"/>
          </w:tcPr>
          <w:p>
            <w:r/>
            <w:r>
              <w:rPr>
                <w:b/>
                <w:sz w:val="17"/>
              </w:rPr>
              <w:t>Apply least-privilege thinking to Defender and Azure access</w:t>
            </w:r>
          </w:p>
        </w:tc>
        <w:tc>
          <w:tcPr>
            <w:tcW w:type="dxa" w:w="5616"/>
            <w:vAlign w:val="top"/>
            <w:shd w:fill="FFFFFF"/>
          </w:tcPr>
          <w:p>
            <w:r/>
            <w:r>
              <w:rPr>
                <w:b w:val="0"/>
                <w:sz w:val="17"/>
              </w:rPr>
              <w:t>You can identify when Reader, Contributor, Security Admin, or Owner is appropriate.</w:t>
            </w:r>
          </w:p>
        </w:tc>
      </w:tr>
      <w:tr>
        <w:tc>
          <w:tcPr>
            <w:tcW w:type="dxa" w:w="5040"/>
            <w:vAlign w:val="top"/>
            <w:shd w:fill="F8FAFC"/>
          </w:tcPr>
          <w:p>
            <w:r/>
            <w:r>
              <w:rPr>
                <w:b/>
                <w:sz w:val="17"/>
              </w:rPr>
              <w:t>Describe AI-specific controls and data handling rules</w:t>
            </w:r>
          </w:p>
        </w:tc>
        <w:tc>
          <w:tcPr>
            <w:tcW w:type="dxa" w:w="5616"/>
            <w:vAlign w:val="top"/>
            <w:shd w:fill="FFFFFF"/>
          </w:tcPr>
          <w:p>
            <w:r/>
            <w:r>
              <w:rPr>
                <w:b w:val="0"/>
                <w:sz w:val="17"/>
              </w:rPr>
              <w:t>You can explain why production data and confidential prompts must not be used in labs.</w:t>
            </w:r>
          </w:p>
        </w:tc>
      </w:tr>
      <w:tr>
        <w:tc>
          <w:tcPr>
            <w:tcW w:type="dxa" w:w="5040"/>
            <w:vAlign w:val="top"/>
            <w:shd w:fill="F8FAFC"/>
          </w:tcPr>
          <w:p>
            <w:r/>
            <w:r>
              <w:rPr>
                <w:b/>
                <w:sz w:val="17"/>
              </w:rPr>
              <w:t>Build an action-oriented remediation summary</w:t>
            </w:r>
          </w:p>
        </w:tc>
        <w:tc>
          <w:tcPr>
            <w:tcW w:type="dxa" w:w="5616"/>
            <w:vAlign w:val="top"/>
            <w:shd w:fill="FFFFFF"/>
          </w:tcPr>
          <w:p>
            <w:r/>
            <w:r>
              <w:rPr>
                <w:b w:val="0"/>
                <w:sz w:val="17"/>
              </w:rPr>
              <w:t>You can convert security findings into a prioritized operational plan.</w:t>
            </w:r>
          </w:p>
        </w:tc>
      </w:tr>
    </w:tbl>
    <w:p/>
    <w:p>
      <w:r>
        <w:br w:type="page"/>
      </w:r>
    </w:p>
    <w:p>
      <w:pPr>
        <w:spacing w:before="60" w:after="0"/>
      </w:pPr>
      <w:r>
        <w:rPr>
          <w:b/>
          <w:color w:val="0F62FE"/>
          <w:sz w:val="16"/>
        </w:rPr>
        <w:t>SECTION 3</w:t>
      </w:r>
    </w:p>
    <w:p>
      <w:pPr>
        <w:spacing w:before="0" w:after="120"/>
      </w:pPr>
      <w:r>
        <w:rPr>
          <w:b/>
          <w:color w:val="1F2937"/>
          <w:sz w:val="36"/>
        </w:rPr>
        <w:t>Audience, Prerequisites, and Student Readiness</w:t>
      </w:r>
    </w:p>
    <w:p>
      <w:pPr>
        <w:spacing w:before="0" w:after="160"/>
      </w:pPr>
      <w:r>
        <w:rPr>
          <w:color w:val="4B5563"/>
          <w:sz w:val="20"/>
        </w:rPr>
        <w:t>Students should arrive with working access, tested MFA, and baseline knowledge of Azure, identity, and cloud security.</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2880"/>
            <w:vAlign w:val="top"/>
            <w:shd w:fill="0F62FE"/>
          </w:tcPr>
          <w:p>
            <w:r/>
            <w:r>
              <w:rPr>
                <w:b/>
                <w:color w:val="FFFFFF"/>
                <w:sz w:val="17"/>
              </w:rPr>
              <w:t>Audience group</w:t>
            </w:r>
          </w:p>
        </w:tc>
        <w:tc>
          <w:tcPr>
            <w:tcW w:type="dxa" w:w="7776"/>
            <w:vAlign w:val="top"/>
            <w:shd w:fill="0F62FE"/>
          </w:tcPr>
          <w:p>
            <w:r/>
            <w:r>
              <w:rPr>
                <w:b/>
                <w:color w:val="FFFFFF"/>
                <w:sz w:val="17"/>
              </w:rPr>
              <w:t>Why this course is relevant</w:t>
            </w:r>
          </w:p>
        </w:tc>
      </w:tr>
      <w:tr>
        <w:tc>
          <w:tcPr>
            <w:tcW w:type="dxa" w:w="2880"/>
            <w:vAlign w:val="top"/>
            <w:shd w:fill="F8FAFC"/>
          </w:tcPr>
          <w:p>
            <w:r/>
            <w:r>
              <w:rPr>
                <w:b/>
                <w:sz w:val="17"/>
              </w:rPr>
              <w:t>Cloud administrators</w:t>
            </w:r>
          </w:p>
        </w:tc>
        <w:tc>
          <w:tcPr>
            <w:tcW w:type="dxa" w:w="7776"/>
            <w:vAlign w:val="top"/>
            <w:shd w:fill="FFFFFF"/>
          </w:tcPr>
          <w:p>
            <w:r/>
            <w:r>
              <w:rPr>
                <w:b w:val="0"/>
                <w:sz w:val="17"/>
              </w:rPr>
              <w:t>Understand how Defender for Cloud posture management and workload plans affect day-to-day Azure operations.</w:t>
            </w:r>
          </w:p>
        </w:tc>
      </w:tr>
      <w:tr>
        <w:tc>
          <w:tcPr>
            <w:tcW w:type="dxa" w:w="2880"/>
            <w:vAlign w:val="top"/>
            <w:shd w:fill="F8FAFC"/>
          </w:tcPr>
          <w:p>
            <w:r/>
            <w:r>
              <w:rPr>
                <w:b/>
                <w:sz w:val="17"/>
              </w:rPr>
              <w:t>Security engineers</w:t>
            </w:r>
          </w:p>
        </w:tc>
        <w:tc>
          <w:tcPr>
            <w:tcW w:type="dxa" w:w="7776"/>
            <w:vAlign w:val="top"/>
            <w:shd w:fill="FFFFFF"/>
          </w:tcPr>
          <w:p>
            <w:r/>
            <w:r>
              <w:rPr>
                <w:b w:val="0"/>
                <w:sz w:val="17"/>
              </w:rPr>
              <w:t>Use Defender findings, attack paths, and workload signals to prioritize remediation.</w:t>
            </w:r>
          </w:p>
        </w:tc>
      </w:tr>
      <w:tr>
        <w:tc>
          <w:tcPr>
            <w:tcW w:type="dxa" w:w="2880"/>
            <w:vAlign w:val="top"/>
            <w:shd w:fill="F8FAFC"/>
          </w:tcPr>
          <w:p>
            <w:r/>
            <w:r>
              <w:rPr>
                <w:b/>
                <w:sz w:val="17"/>
              </w:rPr>
              <w:t>SecOps analysts</w:t>
            </w:r>
          </w:p>
        </w:tc>
        <w:tc>
          <w:tcPr>
            <w:tcW w:type="dxa" w:w="7776"/>
            <w:vAlign w:val="top"/>
            <w:shd w:fill="FFFFFF"/>
          </w:tcPr>
          <w:p>
            <w:r/>
            <w:r>
              <w:rPr>
                <w:b w:val="0"/>
                <w:sz w:val="17"/>
              </w:rPr>
              <w:t>Connect Defender for Cloud posture and alerts to Microsoft Defender portal investigation workflows.</w:t>
            </w:r>
          </w:p>
        </w:tc>
      </w:tr>
      <w:tr>
        <w:tc>
          <w:tcPr>
            <w:tcW w:type="dxa" w:w="2880"/>
            <w:vAlign w:val="top"/>
            <w:shd w:fill="F8FAFC"/>
          </w:tcPr>
          <w:p>
            <w:r/>
            <w:r>
              <w:rPr>
                <w:b/>
                <w:sz w:val="17"/>
              </w:rPr>
              <w:t>Solution architects</w:t>
            </w:r>
          </w:p>
        </w:tc>
        <w:tc>
          <w:tcPr>
            <w:tcW w:type="dxa" w:w="7776"/>
            <w:vAlign w:val="top"/>
            <w:shd w:fill="FFFFFF"/>
          </w:tcPr>
          <w:p>
            <w:r/>
            <w:r>
              <w:rPr>
                <w:b w:val="0"/>
                <w:sz w:val="17"/>
              </w:rPr>
              <w:t>Map business risk, regulatory needs, and Zero Trust principles to practical Microsoft security controls.</w:t>
            </w:r>
          </w:p>
        </w:tc>
      </w:tr>
      <w:tr>
        <w:tc>
          <w:tcPr>
            <w:tcW w:type="dxa" w:w="2880"/>
            <w:vAlign w:val="top"/>
            <w:shd w:fill="F8FAFC"/>
          </w:tcPr>
          <w:p>
            <w:r/>
            <w:r>
              <w:rPr>
                <w:b/>
                <w:sz w:val="17"/>
              </w:rPr>
              <w:t>Technical decision-makers</w:t>
            </w:r>
          </w:p>
        </w:tc>
        <w:tc>
          <w:tcPr>
            <w:tcW w:type="dxa" w:w="7776"/>
            <w:vAlign w:val="top"/>
            <w:shd w:fill="FFFFFF"/>
          </w:tcPr>
          <w:p>
            <w:r/>
            <w:r>
              <w:rPr>
                <w:b w:val="0"/>
                <w:sz w:val="17"/>
              </w:rPr>
              <w:t>Understand cost, governance, rollout risk, and operational readiness before enabling protection plans.</w:t>
            </w:r>
          </w:p>
        </w:tc>
      </w:tr>
    </w:tbl>
    <w:p/>
    <w:p>
      <w:pPr>
        <w:pStyle w:val="Heading2"/>
      </w:pPr>
      <w:r>
        <w:t>Minimum knowledge baseline</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2736"/>
            <w:vAlign w:val="top"/>
            <w:shd w:fill="0F62FE"/>
          </w:tcPr>
          <w:p>
            <w:r/>
            <w:r>
              <w:rPr>
                <w:b/>
                <w:color w:val="FFFFFF"/>
                <w:sz w:val="17"/>
              </w:rPr>
              <w:t>Area</w:t>
            </w:r>
          </w:p>
        </w:tc>
        <w:tc>
          <w:tcPr>
            <w:tcW w:type="dxa" w:w="7920"/>
            <w:vAlign w:val="top"/>
            <w:shd w:fill="0F62FE"/>
          </w:tcPr>
          <w:p>
            <w:r/>
            <w:r>
              <w:rPr>
                <w:b/>
                <w:color w:val="FFFFFF"/>
                <w:sz w:val="17"/>
              </w:rPr>
              <w:t>Expected baseline before class</w:t>
            </w:r>
          </w:p>
        </w:tc>
      </w:tr>
      <w:tr>
        <w:tc>
          <w:tcPr>
            <w:tcW w:type="dxa" w:w="2736"/>
            <w:vAlign w:val="top"/>
            <w:shd w:fill="F8FAFC"/>
          </w:tcPr>
          <w:p>
            <w:r/>
            <w:r>
              <w:rPr>
                <w:b/>
                <w:sz w:val="17"/>
              </w:rPr>
              <w:t>Cloud fundamentals</w:t>
            </w:r>
          </w:p>
        </w:tc>
        <w:tc>
          <w:tcPr>
            <w:tcW w:type="dxa" w:w="7920"/>
            <w:vAlign w:val="top"/>
            <w:shd w:fill="FFFFFF"/>
          </w:tcPr>
          <w:p>
            <w:r/>
            <w:r>
              <w:rPr>
                <w:b w:val="0"/>
                <w:sz w:val="17"/>
              </w:rPr>
              <w:t>Subscriptions, resource groups, regions, resources, identity, billing, and Azure RBAC.</w:t>
            </w:r>
          </w:p>
        </w:tc>
      </w:tr>
      <w:tr>
        <w:tc>
          <w:tcPr>
            <w:tcW w:type="dxa" w:w="2736"/>
            <w:vAlign w:val="top"/>
            <w:shd w:fill="F8FAFC"/>
          </w:tcPr>
          <w:p>
            <w:r/>
            <w:r>
              <w:rPr>
                <w:b/>
                <w:sz w:val="17"/>
              </w:rPr>
              <w:t>Security fundamentals</w:t>
            </w:r>
          </w:p>
        </w:tc>
        <w:tc>
          <w:tcPr>
            <w:tcW w:type="dxa" w:w="7920"/>
            <w:vAlign w:val="top"/>
            <w:shd w:fill="FFFFFF"/>
          </w:tcPr>
          <w:p>
            <w:r/>
            <w:r>
              <w:rPr>
                <w:b w:val="0"/>
                <w:sz w:val="17"/>
              </w:rPr>
              <w:t>Shared responsibility, Zero Trust, defense-in-depth, identity as the control plane, and common misconfigurations.</w:t>
            </w:r>
          </w:p>
        </w:tc>
      </w:tr>
      <w:tr>
        <w:tc>
          <w:tcPr>
            <w:tcW w:type="dxa" w:w="2736"/>
            <w:vAlign w:val="top"/>
            <w:shd w:fill="F8FAFC"/>
          </w:tcPr>
          <w:p>
            <w:r/>
            <w:r>
              <w:rPr>
                <w:b/>
                <w:sz w:val="17"/>
              </w:rPr>
              <w:t>Microsoft Entra ID</w:t>
            </w:r>
          </w:p>
        </w:tc>
        <w:tc>
          <w:tcPr>
            <w:tcW w:type="dxa" w:w="7920"/>
            <w:vAlign w:val="top"/>
            <w:shd w:fill="FFFFFF"/>
          </w:tcPr>
          <w:p>
            <w:r/>
            <w:r>
              <w:rPr>
                <w:b w:val="0"/>
                <w:sz w:val="17"/>
              </w:rPr>
              <w:t>Users, groups, roles, MFA, Conditional Access basics, and access management.</w:t>
            </w:r>
          </w:p>
        </w:tc>
      </w:tr>
      <w:tr>
        <w:tc>
          <w:tcPr>
            <w:tcW w:type="dxa" w:w="2736"/>
            <w:vAlign w:val="top"/>
            <w:shd w:fill="F8FAFC"/>
          </w:tcPr>
          <w:p>
            <w:r/>
            <w:r>
              <w:rPr>
                <w:b/>
                <w:sz w:val="17"/>
              </w:rPr>
              <w:t>Microsoft Defender for Cloud</w:t>
            </w:r>
          </w:p>
        </w:tc>
        <w:tc>
          <w:tcPr>
            <w:tcW w:type="dxa" w:w="7920"/>
            <w:vAlign w:val="top"/>
            <w:shd w:fill="FFFFFF"/>
          </w:tcPr>
          <w:p>
            <w:r/>
            <w:r>
              <w:rPr>
                <w:b w:val="0"/>
                <w:sz w:val="17"/>
              </w:rPr>
              <w:t>Basic navigation, Secure Score, recommendations, regulatory compliance, workload protection plans, and security posture management.</w:t>
            </w:r>
          </w:p>
        </w:tc>
      </w:tr>
      <w:tr>
        <w:tc>
          <w:tcPr>
            <w:tcW w:type="dxa" w:w="2736"/>
            <w:vAlign w:val="top"/>
            <w:shd w:fill="F8FAFC"/>
          </w:tcPr>
          <w:p>
            <w:r/>
            <w:r>
              <w:rPr>
                <w:b/>
                <w:sz w:val="17"/>
              </w:rPr>
              <w:t>Azure workloads</w:t>
            </w:r>
          </w:p>
        </w:tc>
        <w:tc>
          <w:tcPr>
            <w:tcW w:type="dxa" w:w="7920"/>
            <w:vAlign w:val="top"/>
            <w:shd w:fill="FFFFFF"/>
          </w:tcPr>
          <w:p>
            <w:r/>
            <w:r>
              <w:rPr>
                <w:b w:val="0"/>
                <w:sz w:val="17"/>
              </w:rPr>
              <w:t>Storage accounts, App Service, virtual machines, containers/AKS, and AI services where relevant.</w:t>
            </w:r>
          </w:p>
        </w:tc>
      </w:tr>
      <w:tr>
        <w:tc>
          <w:tcPr>
            <w:tcW w:type="dxa" w:w="2736"/>
            <w:vAlign w:val="top"/>
            <w:shd w:fill="F8FAFC"/>
          </w:tcPr>
          <w:p>
            <w:r/>
            <w:r>
              <w:rPr>
                <w:b/>
                <w:sz w:val="17"/>
              </w:rPr>
              <w:t>AI security</w:t>
            </w:r>
          </w:p>
        </w:tc>
        <w:tc>
          <w:tcPr>
            <w:tcW w:type="dxa" w:w="7920"/>
            <w:vAlign w:val="top"/>
            <w:shd w:fill="FFFFFF"/>
          </w:tcPr>
          <w:p>
            <w:r/>
            <w:r>
              <w:rPr>
                <w:b w:val="0"/>
                <w:sz w:val="17"/>
              </w:rPr>
              <w:t>Azure AI services, Microsoft Foundry or Azure OpenAI concepts, model deployments, prompts, and data leakage risks.</w:t>
            </w:r>
          </w:p>
        </w:tc>
      </w:tr>
    </w:tbl>
    <w:p/>
    <w:p>
      <w:pPr>
        <w:pStyle w:val="Heading2"/>
      </w:pPr>
      <w:r>
        <w:t>Required accounts and access</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3168"/>
            <w:vAlign w:val="top"/>
            <w:shd w:fill="0F62FE"/>
          </w:tcPr>
          <w:p>
            <w:r/>
            <w:r>
              <w:rPr>
                <w:b/>
                <w:color w:val="FFFFFF"/>
                <w:sz w:val="17"/>
              </w:rPr>
              <w:t>Requirement</w:t>
            </w:r>
          </w:p>
        </w:tc>
        <w:tc>
          <w:tcPr>
            <w:tcW w:type="dxa" w:w="7488"/>
            <w:vAlign w:val="top"/>
            <w:shd w:fill="0F62FE"/>
          </w:tcPr>
          <w:p>
            <w:r/>
            <w:r>
              <w:rPr>
                <w:b/>
                <w:color w:val="FFFFFF"/>
                <w:sz w:val="17"/>
              </w:rPr>
              <w:t>Student action</w:t>
            </w:r>
          </w:p>
        </w:tc>
      </w:tr>
      <w:tr>
        <w:tc>
          <w:tcPr>
            <w:tcW w:type="dxa" w:w="3168"/>
            <w:vAlign w:val="top"/>
            <w:shd w:fill="F8FAFC"/>
          </w:tcPr>
          <w:p>
            <w:r/>
            <w:r>
              <w:rPr>
                <w:b/>
                <w:sz w:val="17"/>
              </w:rPr>
              <w:t>Microsoft Learn account</w:t>
            </w:r>
          </w:p>
        </w:tc>
        <w:tc>
          <w:tcPr>
            <w:tcW w:type="dxa" w:w="7488"/>
            <w:vAlign w:val="top"/>
            <w:shd w:fill="FFFFFF"/>
          </w:tcPr>
          <w:p>
            <w:r/>
            <w:r>
              <w:rPr>
                <w:b w:val="0"/>
                <w:sz w:val="17"/>
              </w:rPr>
              <w:t>Sign in and confirm you can access the assigned collection.</w:t>
            </w:r>
          </w:p>
        </w:tc>
      </w:tr>
      <w:tr>
        <w:tc>
          <w:tcPr>
            <w:tcW w:type="dxa" w:w="3168"/>
            <w:vAlign w:val="top"/>
            <w:shd w:fill="F8FAFC"/>
          </w:tcPr>
          <w:p>
            <w:r/>
            <w:r>
              <w:rPr>
                <w:b/>
                <w:sz w:val="17"/>
              </w:rPr>
              <w:t>Azure portal access</w:t>
            </w:r>
          </w:p>
        </w:tc>
        <w:tc>
          <w:tcPr>
            <w:tcW w:type="dxa" w:w="7488"/>
            <w:vAlign w:val="top"/>
            <w:shd w:fill="FFFFFF"/>
          </w:tcPr>
          <w:p>
            <w:r/>
            <w:r>
              <w:rPr>
                <w:b w:val="0"/>
                <w:sz w:val="17"/>
              </w:rPr>
              <w:t>Confirm you can sign in before class and can see the correct directory/tenant.</w:t>
            </w:r>
          </w:p>
        </w:tc>
      </w:tr>
      <w:tr>
        <w:tc>
          <w:tcPr>
            <w:tcW w:type="dxa" w:w="3168"/>
            <w:vAlign w:val="top"/>
            <w:shd w:fill="F8FAFC"/>
          </w:tcPr>
          <w:p>
            <w:r/>
            <w:r>
              <w:rPr>
                <w:b/>
                <w:sz w:val="17"/>
              </w:rPr>
              <w:t>Microsoft Defender portal access</w:t>
            </w:r>
          </w:p>
        </w:tc>
        <w:tc>
          <w:tcPr>
            <w:tcW w:type="dxa" w:w="7488"/>
            <w:vAlign w:val="top"/>
            <w:shd w:fill="FFFFFF"/>
          </w:tcPr>
          <w:p>
            <w:r/>
            <w:r>
              <w:rPr>
                <w:b w:val="0"/>
                <w:sz w:val="17"/>
              </w:rPr>
              <w:t>Required where incident, alert, or Defender XDR views are included.</w:t>
            </w:r>
          </w:p>
        </w:tc>
      </w:tr>
      <w:tr>
        <w:tc>
          <w:tcPr>
            <w:tcW w:type="dxa" w:w="3168"/>
            <w:vAlign w:val="top"/>
            <w:shd w:fill="F8FAFC"/>
          </w:tcPr>
          <w:p>
            <w:r/>
            <w:r>
              <w:rPr>
                <w:b/>
                <w:sz w:val="17"/>
              </w:rPr>
              <w:t>Named account</w:t>
            </w:r>
          </w:p>
        </w:tc>
        <w:tc>
          <w:tcPr>
            <w:tcW w:type="dxa" w:w="7488"/>
            <w:vAlign w:val="top"/>
            <w:shd w:fill="FFFFFF"/>
          </w:tcPr>
          <w:p>
            <w:r/>
            <w:r>
              <w:rPr>
                <w:b w:val="0"/>
                <w:sz w:val="17"/>
              </w:rPr>
              <w:t>Use your own assigned identity. Do not share admin credentials.</w:t>
            </w:r>
          </w:p>
        </w:tc>
      </w:tr>
      <w:tr>
        <w:tc>
          <w:tcPr>
            <w:tcW w:type="dxa" w:w="3168"/>
            <w:vAlign w:val="top"/>
            <w:shd w:fill="F8FAFC"/>
          </w:tcPr>
          <w:p>
            <w:r/>
            <w:r>
              <w:rPr>
                <w:b/>
                <w:sz w:val="17"/>
              </w:rPr>
              <w:t>MFA</w:t>
            </w:r>
          </w:p>
        </w:tc>
        <w:tc>
          <w:tcPr>
            <w:tcW w:type="dxa" w:w="7488"/>
            <w:vAlign w:val="top"/>
            <w:shd w:fill="FFFFFF"/>
          </w:tcPr>
          <w:p>
            <w:r/>
            <w:r>
              <w:rPr>
                <w:b w:val="0"/>
                <w:sz w:val="17"/>
              </w:rPr>
              <w:t>Configure and test before class.</w:t>
            </w:r>
          </w:p>
        </w:tc>
      </w:tr>
      <w:tr>
        <w:tc>
          <w:tcPr>
            <w:tcW w:type="dxa" w:w="3168"/>
            <w:vAlign w:val="top"/>
            <w:shd w:fill="F8FAFC"/>
          </w:tcPr>
          <w:p>
            <w:r/>
            <w:r>
              <w:rPr>
                <w:b/>
                <w:sz w:val="17"/>
              </w:rPr>
              <w:t>Lab subscription/resource group</w:t>
            </w:r>
          </w:p>
        </w:tc>
        <w:tc>
          <w:tcPr>
            <w:tcW w:type="dxa" w:w="7488"/>
            <w:vAlign w:val="top"/>
            <w:shd w:fill="FFFFFF"/>
          </w:tcPr>
          <w:p>
            <w:r/>
            <w:r>
              <w:rPr>
                <w:b w:val="0"/>
                <w:sz w:val="17"/>
              </w:rPr>
              <w:t>Confirm visibility and required role assignment before day one.</w:t>
            </w:r>
          </w:p>
        </w:tc>
      </w:tr>
      <w:tr>
        <w:tc>
          <w:tcPr>
            <w:tcW w:type="dxa" w:w="3168"/>
            <w:vAlign w:val="top"/>
            <w:shd w:fill="F8FAFC"/>
          </w:tcPr>
          <w:p>
            <w:r/>
            <w:r>
              <w:rPr>
                <w:b/>
                <w:sz w:val="17"/>
              </w:rPr>
              <w:t>Modern browser</w:t>
            </w:r>
          </w:p>
        </w:tc>
        <w:tc>
          <w:tcPr>
            <w:tcW w:type="dxa" w:w="7488"/>
            <w:vAlign w:val="top"/>
            <w:shd w:fill="FFFFFF"/>
          </w:tcPr>
          <w:p>
            <w:r/>
            <w:r>
              <w:rPr>
                <w:b w:val="0"/>
                <w:sz w:val="17"/>
              </w:rPr>
              <w:t>Use Microsoft Edge or Chrome. Avoid mobile-only access.</w:t>
            </w:r>
          </w:p>
        </w:tc>
      </w:tr>
    </w:tbl>
    <w:p/>
    <w:tbl>
      <w:tblPr>
        <w:tblW w:type="auto" w:w="0"/>
        <w:jc w:val="center"/>
        <w:tblLayout w:type="autofit"/>
        <w:tblLook w:firstColumn="1" w:firstRow="1" w:lastColumn="0" w:lastRow="0" w:noHBand="0" w:noVBand="1" w:val="04A0"/>
        <w:tblBorders>
          <w:top w:val="single" w:sz="8" w:space="0" w:color="EF4444"/>
          <w:left w:val="single" w:sz="8" w:space="0" w:color="EF4444"/>
          <w:bottom w:val="single" w:sz="8" w:space="0" w:color="EF4444"/>
          <w:right w:val="single" w:sz="8" w:space="0" w:color="EF4444"/>
          <w:insideH w:val="single" w:sz="8" w:space="0" w:color="EF4444"/>
          <w:insideV w:val="single" w:sz="8" w:space="0" w:color="EF4444"/>
        </w:tblBorders>
      </w:tblPr>
      <w:tblGrid>
        <w:gridCol w:w="10224"/>
      </w:tblGrid>
      <w:tr>
        <w:tc>
          <w:tcPr>
            <w:tcW w:type="dxa" w:w="10224"/>
            <w:shd w:fill="FEF2F2"/>
          </w:tcPr>
          <w:p>
            <w:pPr>
              <w:spacing w:after="60"/>
            </w:pPr>
            <w:r>
              <w:rPr>
                <w:b/>
                <w:color w:val="1F2937"/>
                <w:sz w:val="20"/>
              </w:rPr>
              <w:t>Readiness warning</w:t>
            </w:r>
          </w:p>
          <w:p>
            <w:pPr>
              <w:spacing w:after="0"/>
            </w:pPr>
            <w:r>
              <w:rPr>
                <w:sz w:val="18"/>
              </w:rPr>
              <w:t>Permissions are the most common blocker. Students should not discover during class that they cannot view the subscription, access Defender for Cloud, enable a plan, create resources, or capture lab evidence.</w:t>
            </w:r>
          </w:p>
        </w:tc>
      </w:tr>
    </w:tbl>
    <w:p/>
    <w:p>
      <w:r>
        <w:br w:type="page"/>
      </w:r>
    </w:p>
    <w:p>
      <w:pPr>
        <w:spacing w:before="60" w:after="0"/>
      </w:pPr>
      <w:r>
        <w:rPr>
          <w:b/>
          <w:color w:val="0F62FE"/>
          <w:sz w:val="16"/>
        </w:rPr>
        <w:t>SECTION 4</w:t>
      </w:r>
    </w:p>
    <w:p>
      <w:pPr>
        <w:spacing w:before="0" w:after="120"/>
      </w:pPr>
      <w:r>
        <w:rPr>
          <w:b/>
          <w:color w:val="1F2937"/>
          <w:sz w:val="36"/>
        </w:rPr>
        <w:t>Course Journey and One-Day Agenda</w:t>
      </w:r>
    </w:p>
    <w:p>
      <w:pPr>
        <w:spacing w:before="0" w:after="160"/>
      </w:pPr>
      <w:r>
        <w:rPr>
          <w:color w:val="4B5563"/>
          <w:sz w:val="20"/>
        </w:rPr>
        <w:t>The course moves from strategy and governance to configuration, remediation, workload protection, and operational review.</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08"/>
        <w:gridCol w:w="3408"/>
        <w:gridCol w:w="3408"/>
      </w:tblGrid>
      <w:tr>
        <w:tc>
          <w:tcPr>
            <w:tcW w:type="dxa" w:w="3744"/>
            <w:vAlign w:val="top"/>
            <w:shd w:fill="0F62FE"/>
          </w:tcPr>
          <w:p>
            <w:r/>
            <w:r>
              <w:rPr>
                <w:b/>
                <w:color w:val="FFFFFF"/>
                <w:sz w:val="17"/>
              </w:rPr>
              <w:t>Course part</w:t>
            </w:r>
          </w:p>
        </w:tc>
        <w:tc>
          <w:tcPr>
            <w:tcW w:type="dxa" w:w="1728"/>
            <w:vAlign w:val="top"/>
            <w:shd w:fill="0F62FE"/>
          </w:tcPr>
          <w:p>
            <w:r/>
            <w:r>
              <w:rPr>
                <w:b/>
                <w:color w:val="FFFFFF"/>
                <w:sz w:val="17"/>
              </w:rPr>
              <w:t>Duration</w:t>
            </w:r>
          </w:p>
        </w:tc>
        <w:tc>
          <w:tcPr>
            <w:tcW w:type="dxa" w:w="5616"/>
            <w:vAlign w:val="top"/>
            <w:shd w:fill="0F62FE"/>
          </w:tcPr>
          <w:p>
            <w:r/>
            <w:r>
              <w:rPr>
                <w:b/>
                <w:color w:val="FFFFFF"/>
                <w:sz w:val="17"/>
              </w:rPr>
              <w:t>Student focus</w:t>
            </w:r>
          </w:p>
        </w:tc>
      </w:tr>
      <w:tr>
        <w:tc>
          <w:tcPr>
            <w:tcW w:type="dxa" w:w="3744"/>
            <w:vAlign w:val="top"/>
            <w:shd w:fill="F8FAFC"/>
          </w:tcPr>
          <w:p>
            <w:r/>
            <w:r>
              <w:rPr>
                <w:b/>
                <w:sz w:val="17"/>
              </w:rPr>
              <w:t>Part 1 - Strategic Initiation and Governance</w:t>
            </w:r>
          </w:p>
        </w:tc>
        <w:tc>
          <w:tcPr>
            <w:tcW w:type="dxa" w:w="1728"/>
            <w:vAlign w:val="top"/>
            <w:shd w:fill="FFFFFF"/>
          </w:tcPr>
          <w:p>
            <w:r/>
            <w:r>
              <w:rPr>
                <w:b w:val="0"/>
                <w:sz w:val="17"/>
              </w:rPr>
              <w:t>90 minutes</w:t>
            </w:r>
          </w:p>
        </w:tc>
        <w:tc>
          <w:tcPr>
            <w:tcW w:type="dxa" w:w="5616"/>
            <w:vAlign w:val="top"/>
            <w:shd w:fill="FFFFFF"/>
          </w:tcPr>
          <w:p>
            <w:r/>
            <w:r>
              <w:rPr>
                <w:b w:val="0"/>
                <w:sz w:val="17"/>
              </w:rPr>
              <w:t>Identify security goals, risk vectors, business priorities, architecture assumptions, and compliance gaps.</w:t>
            </w:r>
          </w:p>
        </w:tc>
      </w:tr>
      <w:tr>
        <w:tc>
          <w:tcPr>
            <w:tcW w:type="dxa" w:w="3744"/>
            <w:vAlign w:val="top"/>
            <w:shd w:fill="F8FAFC"/>
          </w:tcPr>
          <w:p>
            <w:r/>
            <w:r>
              <w:rPr>
                <w:b/>
                <w:sz w:val="17"/>
              </w:rPr>
              <w:t>Morning break</w:t>
            </w:r>
          </w:p>
        </w:tc>
        <w:tc>
          <w:tcPr>
            <w:tcW w:type="dxa" w:w="1728"/>
            <w:vAlign w:val="top"/>
            <w:shd w:fill="FFFFFF"/>
          </w:tcPr>
          <w:p>
            <w:r/>
            <w:r>
              <w:rPr>
                <w:b w:val="0"/>
                <w:sz w:val="17"/>
              </w:rPr>
              <w:t>10 minutes</w:t>
            </w:r>
          </w:p>
        </w:tc>
        <w:tc>
          <w:tcPr>
            <w:tcW w:type="dxa" w:w="5616"/>
            <w:vAlign w:val="top"/>
            <w:shd w:fill="FFFFFF"/>
          </w:tcPr>
          <w:p>
            <w:r/>
            <w:r>
              <w:rPr>
                <w:b w:val="0"/>
                <w:sz w:val="17"/>
              </w:rPr>
              <w:t>Pause and prepare for hands-on Defender platform work.</w:t>
            </w:r>
          </w:p>
        </w:tc>
      </w:tr>
      <w:tr>
        <w:tc>
          <w:tcPr>
            <w:tcW w:type="dxa" w:w="3744"/>
            <w:vAlign w:val="top"/>
            <w:shd w:fill="F8FAFC"/>
          </w:tcPr>
          <w:p>
            <w:r/>
            <w:r>
              <w:rPr>
                <w:b/>
                <w:sz w:val="17"/>
              </w:rPr>
              <w:t>Part 2 - Configuration Control and Workload Protection</w:t>
            </w:r>
          </w:p>
        </w:tc>
        <w:tc>
          <w:tcPr>
            <w:tcW w:type="dxa" w:w="1728"/>
            <w:vAlign w:val="top"/>
            <w:shd w:fill="FFFFFF"/>
          </w:tcPr>
          <w:p>
            <w:r/>
            <w:r>
              <w:rPr>
                <w:b w:val="0"/>
                <w:sz w:val="17"/>
              </w:rPr>
              <w:t>120 minutes</w:t>
            </w:r>
          </w:p>
        </w:tc>
        <w:tc>
          <w:tcPr>
            <w:tcW w:type="dxa" w:w="5616"/>
            <w:vAlign w:val="top"/>
            <w:shd w:fill="FFFFFF"/>
          </w:tcPr>
          <w:p>
            <w:r/>
            <w:r>
              <w:rPr>
                <w:b w:val="0"/>
                <w:sz w:val="17"/>
              </w:rPr>
              <w:t>Explore Microsoft Defender portal, CSPM, Security Exposure Management, attack paths, and workload protection selection.</w:t>
            </w:r>
          </w:p>
        </w:tc>
      </w:tr>
      <w:tr>
        <w:tc>
          <w:tcPr>
            <w:tcW w:type="dxa" w:w="3744"/>
            <w:vAlign w:val="top"/>
            <w:shd w:fill="F8FAFC"/>
          </w:tcPr>
          <w:p>
            <w:r/>
            <w:r>
              <w:rPr>
                <w:b/>
                <w:sz w:val="17"/>
              </w:rPr>
              <w:t>Lunch break</w:t>
            </w:r>
          </w:p>
        </w:tc>
        <w:tc>
          <w:tcPr>
            <w:tcW w:type="dxa" w:w="1728"/>
            <w:vAlign w:val="top"/>
            <w:shd w:fill="FFFFFF"/>
          </w:tcPr>
          <w:p>
            <w:r/>
            <w:r>
              <w:rPr>
                <w:b w:val="0"/>
                <w:sz w:val="17"/>
              </w:rPr>
              <w:t>45 minutes</w:t>
            </w:r>
          </w:p>
        </w:tc>
        <w:tc>
          <w:tcPr>
            <w:tcW w:type="dxa" w:w="5616"/>
            <w:vAlign w:val="top"/>
            <w:shd w:fill="FFFFFF"/>
          </w:tcPr>
          <w:p>
            <w:r/>
            <w:r>
              <w:rPr>
                <w:b w:val="0"/>
                <w:sz w:val="17"/>
              </w:rPr>
              <w:t>Reset before practical configuration and remediation activities.</w:t>
            </w:r>
          </w:p>
        </w:tc>
      </w:tr>
      <w:tr>
        <w:tc>
          <w:tcPr>
            <w:tcW w:type="dxa" w:w="3744"/>
            <w:vAlign w:val="top"/>
            <w:shd w:fill="F8FAFC"/>
          </w:tcPr>
          <w:p>
            <w:r/>
            <w:r>
              <w:rPr>
                <w:b/>
                <w:sz w:val="17"/>
              </w:rPr>
              <w:t>Part 3 - Practical Implementation and Remediation</w:t>
            </w:r>
          </w:p>
        </w:tc>
        <w:tc>
          <w:tcPr>
            <w:tcW w:type="dxa" w:w="1728"/>
            <w:vAlign w:val="top"/>
            <w:shd w:fill="FFFFFF"/>
          </w:tcPr>
          <w:p>
            <w:r/>
            <w:r>
              <w:rPr>
                <w:b w:val="0"/>
                <w:sz w:val="17"/>
              </w:rPr>
              <w:t>75 minutes</w:t>
            </w:r>
          </w:p>
        </w:tc>
        <w:tc>
          <w:tcPr>
            <w:tcW w:type="dxa" w:w="5616"/>
            <w:vAlign w:val="top"/>
            <w:shd w:fill="FFFFFF"/>
          </w:tcPr>
          <w:p>
            <w:r/>
            <w:r>
              <w:rPr>
                <w:b w:val="0"/>
                <w:sz w:val="17"/>
              </w:rPr>
              <w:t>Configure selected Defender components, review AI-specific security, and address rollout blockers.</w:t>
            </w:r>
          </w:p>
        </w:tc>
      </w:tr>
      <w:tr>
        <w:tc>
          <w:tcPr>
            <w:tcW w:type="dxa" w:w="3744"/>
            <w:vAlign w:val="top"/>
            <w:shd w:fill="F8FAFC"/>
          </w:tcPr>
          <w:p>
            <w:r/>
            <w:r>
              <w:rPr>
                <w:b/>
                <w:sz w:val="17"/>
              </w:rPr>
              <w:t>Afternoon break</w:t>
            </w:r>
          </w:p>
        </w:tc>
        <w:tc>
          <w:tcPr>
            <w:tcW w:type="dxa" w:w="1728"/>
            <w:vAlign w:val="top"/>
            <w:shd w:fill="FFFFFF"/>
          </w:tcPr>
          <w:p>
            <w:r/>
            <w:r>
              <w:rPr>
                <w:b w:val="0"/>
                <w:sz w:val="17"/>
              </w:rPr>
              <w:t>10 minutes</w:t>
            </w:r>
          </w:p>
        </w:tc>
        <w:tc>
          <w:tcPr>
            <w:tcW w:type="dxa" w:w="5616"/>
            <w:vAlign w:val="top"/>
            <w:shd w:fill="FFFFFF"/>
          </w:tcPr>
          <w:p>
            <w:r/>
            <w:r>
              <w:rPr>
                <w:b w:val="0"/>
                <w:sz w:val="17"/>
              </w:rPr>
              <w:t>Pause before scenarios and environment review.</w:t>
            </w:r>
          </w:p>
        </w:tc>
      </w:tr>
      <w:tr>
        <w:tc>
          <w:tcPr>
            <w:tcW w:type="dxa" w:w="3744"/>
            <w:vAlign w:val="top"/>
            <w:shd w:fill="F8FAFC"/>
          </w:tcPr>
          <w:p>
            <w:r/>
            <w:r>
              <w:rPr>
                <w:b/>
                <w:sz w:val="17"/>
              </w:rPr>
              <w:t>Part 4 - Hands-on Scenarios and Live Environment Review</w:t>
            </w:r>
          </w:p>
        </w:tc>
        <w:tc>
          <w:tcPr>
            <w:tcW w:type="dxa" w:w="1728"/>
            <w:vAlign w:val="top"/>
            <w:shd w:fill="FFFFFF"/>
          </w:tcPr>
          <w:p>
            <w:r/>
            <w:r>
              <w:rPr>
                <w:b w:val="0"/>
                <w:sz w:val="17"/>
              </w:rPr>
              <w:t>75 minutes</w:t>
            </w:r>
          </w:p>
        </w:tc>
        <w:tc>
          <w:tcPr>
            <w:tcW w:type="dxa" w:w="5616"/>
            <w:vAlign w:val="top"/>
            <w:shd w:fill="FFFFFF"/>
          </w:tcPr>
          <w:p>
            <w:r/>
            <w:r>
              <w:rPr>
                <w:b w:val="0"/>
                <w:sz w:val="17"/>
              </w:rPr>
              <w:t>Review scenarios, map threats to recommended mitigations, and conduct a guided operational review.</w:t>
            </w:r>
          </w:p>
        </w:tc>
      </w:tr>
    </w:tbl>
    <w:p/>
    <w:p>
      <w:pPr>
        <w:pStyle w:val="Heading2"/>
      </w:pPr>
      <w:r>
        <w:t>Learning flow</w:t>
      </w:r>
    </w:p>
    <w:p>
      <w:pPr>
        <w:pStyle w:val="ListNumber"/>
      </w:pPr>
      <w:r>
        <w:t>Start with business drivers: what must be protected, why it matters, and what risk reduction looks like.</w:t>
      </w:r>
    </w:p>
    <w:p>
      <w:pPr>
        <w:pStyle w:val="ListNumber"/>
      </w:pPr>
      <w:r>
        <w:t>Translate business drivers into cloud security posture priorities using Defender for Cloud and Microsoft security architecture concepts.</w:t>
      </w:r>
    </w:p>
    <w:p>
      <w:pPr>
        <w:pStyle w:val="ListNumber"/>
      </w:pPr>
      <w:r>
        <w:t>Review misconfiguration, over-privileged identities, attack paths, and exposure management signals.</w:t>
      </w:r>
    </w:p>
    <w:p>
      <w:pPr>
        <w:pStyle w:val="ListNumber"/>
      </w:pPr>
      <w:r>
        <w:t>Select two workload modules that match the learner environment and course priorities.</w:t>
      </w:r>
    </w:p>
    <w:p>
      <w:pPr>
        <w:pStyle w:val="ListNumber"/>
      </w:pPr>
      <w:r>
        <w:t>Configure, observe, or simulate Defender controls depending on permissions and approved lab scope.</w:t>
      </w:r>
    </w:p>
    <w:p>
      <w:pPr>
        <w:pStyle w:val="ListNumber"/>
      </w:pPr>
      <w:r>
        <w:t>Close with remediation planning, operational ownership, evidence capture, and cleanup steps.</w:t>
      </w:r>
    </w:p>
    <w:tbl>
      <w:tblPr>
        <w:tblW w:type="auto" w:w="0"/>
        <w:jc w:val="center"/>
        <w:tblLayout w:type="autofit"/>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224"/>
      </w:tblGrid>
      <w:tr>
        <w:tc>
          <w:tcPr>
            <w:tcW w:type="dxa" w:w="10224"/>
            <w:shd w:fill="FFF7ED"/>
          </w:tcPr>
          <w:p>
            <w:pPr>
              <w:spacing w:after="60"/>
            </w:pPr>
            <w:r>
              <w:rPr>
                <w:b/>
                <w:color w:val="1F2937"/>
                <w:sz w:val="20"/>
              </w:rPr>
              <w:t>Timing note</w:t>
            </w:r>
          </w:p>
          <w:p>
            <w:pPr>
              <w:spacing w:after="0"/>
            </w:pPr>
            <w:r>
              <w:rPr>
                <w:sz w:val="18"/>
              </w:rPr>
              <w:t>The Microsoft Learn modules associated with this course are longer than a single workshop day. The instructor-led day compresses the experience into priority discussions, demos, guided labs, and scenario reviews. Self-paced completion continues after class.</w:t>
            </w:r>
          </w:p>
        </w:tc>
      </w:tr>
    </w:tbl>
    <w:p/>
    <w:p>
      <w:pPr>
        <w:spacing w:before="60" w:after="0"/>
      </w:pPr>
      <w:r>
        <w:rPr>
          <w:b/>
          <w:color w:val="0F62FE"/>
          <w:sz w:val="16"/>
        </w:rPr>
        <w:t>SECTION 5</w:t>
      </w:r>
    </w:p>
    <w:p>
      <w:pPr>
        <w:spacing w:before="0" w:after="120"/>
      </w:pPr>
      <w:r>
        <w:rPr>
          <w:b/>
          <w:color w:val="1F2937"/>
          <w:sz w:val="36"/>
        </w:rPr>
        <w:t>Microsoft Learn Collection and Study Resources</w:t>
      </w:r>
    </w:p>
    <w:p>
      <w:pPr>
        <w:spacing w:before="0" w:after="160"/>
      </w:pPr>
      <w:r>
        <w:rPr>
          <w:color w:val="4B5563"/>
          <w:sz w:val="20"/>
        </w:rPr>
        <w:t>The course references a curated Microsoft Learn collection and related Microsoft security learning paths.</w:t>
      </w:r>
    </w:p>
    <w:p>
      <w:pPr>
        <w:pBdr>
          <w:bottom w:val="single" w:sz="8" w:space="1" w:color="0F62FE"/>
        </w:pBdr>
      </w:pPr>
    </w:p>
    <w:p>
      <w:r>
        <w:rPr>
          <w:b/>
        </w:rPr>
        <w:t xml:space="preserve">Collection URL: </w:t>
      </w:r>
      <w:hyperlink r:id="rId11">
        <w:r>
          <w:rPr>
            <w:color w:val="0F62FE"/>
            <w:u w:val="single"/>
          </w:rPr>
          <w:t>Cloud Security Envisioning &amp; Strategy Workshop Syllabus collection</w:t>
        </w:r>
      </w:hyperlink>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56"/>
        <w:gridCol w:w="2556"/>
        <w:gridCol w:w="2556"/>
        <w:gridCol w:w="2556"/>
      </w:tblGrid>
      <w:tr>
        <w:tc>
          <w:tcPr>
            <w:tcW w:type="dxa" w:w="4032"/>
            <w:vAlign w:val="top"/>
            <w:shd w:fill="0F62FE"/>
          </w:tcPr>
          <w:p>
            <w:r/>
            <w:r>
              <w:rPr>
                <w:b/>
                <w:color w:val="FFFFFF"/>
                <w:sz w:val="17"/>
              </w:rPr>
              <w:t>Resource</w:t>
            </w:r>
          </w:p>
        </w:tc>
        <w:tc>
          <w:tcPr>
            <w:tcW w:type="dxa" w:w="1440"/>
            <w:vAlign w:val="top"/>
            <w:shd w:fill="0F62FE"/>
          </w:tcPr>
          <w:p>
            <w:r/>
            <w:r>
              <w:rPr>
                <w:b/>
                <w:color w:val="FFFFFF"/>
                <w:sz w:val="17"/>
              </w:rPr>
              <w:t>Level</w:t>
            </w:r>
          </w:p>
        </w:tc>
        <w:tc>
          <w:tcPr>
            <w:tcW w:type="dxa" w:w="2160"/>
            <w:vAlign w:val="top"/>
            <w:shd w:fill="0F62FE"/>
          </w:tcPr>
          <w:p>
            <w:r/>
            <w:r>
              <w:rPr>
                <w:b/>
                <w:color w:val="FFFFFF"/>
                <w:sz w:val="17"/>
              </w:rPr>
              <w:t>Role focus</w:t>
            </w:r>
          </w:p>
        </w:tc>
        <w:tc>
          <w:tcPr>
            <w:tcW w:type="dxa" w:w="3888"/>
            <w:vAlign w:val="top"/>
            <w:shd w:fill="0F62FE"/>
          </w:tcPr>
          <w:p>
            <w:r/>
            <w:r>
              <w:rPr>
                <w:b/>
                <w:color w:val="FFFFFF"/>
                <w:sz w:val="17"/>
              </w:rPr>
              <w:t>Use in this course</w:t>
            </w:r>
          </w:p>
        </w:tc>
      </w:tr>
      <w:tr>
        <w:tc>
          <w:tcPr>
            <w:tcW w:type="dxa" w:w="4032"/>
            <w:vAlign w:val="top"/>
            <w:shd w:fill="F8FAFC"/>
          </w:tcPr>
          <w:p>
            <w:r/>
            <w:r>
              <w:rPr>
                <w:b/>
                <w:sz w:val="17"/>
              </w:rPr>
              <w:t>SC-900T00-A: Introduction to Microsoft Security, Compliance, and Identity</w:t>
            </w:r>
          </w:p>
        </w:tc>
        <w:tc>
          <w:tcPr>
            <w:tcW w:type="dxa" w:w="1440"/>
            <w:vAlign w:val="top"/>
            <w:shd w:fill="FFFFFF"/>
          </w:tcPr>
          <w:p>
            <w:r/>
            <w:r>
              <w:rPr>
                <w:b w:val="0"/>
                <w:sz w:val="17"/>
              </w:rPr>
              <w:t>Beginner</w:t>
            </w:r>
          </w:p>
        </w:tc>
        <w:tc>
          <w:tcPr>
            <w:tcW w:type="dxa" w:w="2160"/>
            <w:vAlign w:val="top"/>
            <w:shd w:fill="FFFFFF"/>
          </w:tcPr>
          <w:p>
            <w:r/>
            <w:r>
              <w:rPr>
                <w:b w:val="0"/>
                <w:sz w:val="17"/>
              </w:rPr>
              <w:t>Student, business user</w:t>
            </w:r>
          </w:p>
        </w:tc>
        <w:tc>
          <w:tcPr>
            <w:tcW w:type="dxa" w:w="3888"/>
            <w:vAlign w:val="top"/>
            <w:shd w:fill="FFFFFF"/>
          </w:tcPr>
          <w:p>
            <w:r/>
            <w:r>
              <w:rPr>
                <w:b w:val="0"/>
                <w:sz w:val="17"/>
              </w:rPr>
              <w:t>Pre-work or foundation refresh for security, compliance, identity, Azure, Microsoft 365, Entra, and Purview.</w:t>
            </w:r>
          </w:p>
        </w:tc>
      </w:tr>
      <w:tr>
        <w:tc>
          <w:tcPr>
            <w:tcW w:type="dxa" w:w="4032"/>
            <w:vAlign w:val="top"/>
            <w:shd w:fill="F8FAFC"/>
          </w:tcPr>
          <w:p>
            <w:r/>
            <w:r>
              <w:rPr>
                <w:b/>
                <w:sz w:val="17"/>
              </w:rPr>
              <w:t>Introduction to security, compliance, and identity concepts</w:t>
            </w:r>
          </w:p>
        </w:tc>
        <w:tc>
          <w:tcPr>
            <w:tcW w:type="dxa" w:w="1440"/>
            <w:vAlign w:val="top"/>
            <w:shd w:fill="FFFFFF"/>
          </w:tcPr>
          <w:p>
            <w:r/>
            <w:r>
              <w:rPr>
                <w:b w:val="0"/>
                <w:sz w:val="17"/>
              </w:rPr>
              <w:t>Beginner</w:t>
            </w:r>
          </w:p>
        </w:tc>
        <w:tc>
          <w:tcPr>
            <w:tcW w:type="dxa" w:w="2160"/>
            <w:vAlign w:val="top"/>
            <w:shd w:fill="FFFFFF"/>
          </w:tcPr>
          <w:p>
            <w:r/>
            <w:r>
              <w:rPr>
                <w:b w:val="0"/>
                <w:sz w:val="17"/>
              </w:rPr>
              <w:t>Student, business user</w:t>
            </w:r>
          </w:p>
        </w:tc>
        <w:tc>
          <w:tcPr>
            <w:tcW w:type="dxa" w:w="3888"/>
            <w:vAlign w:val="top"/>
            <w:shd w:fill="FFFFFF"/>
          </w:tcPr>
          <w:p>
            <w:r/>
            <w:r>
              <w:rPr>
                <w:b w:val="0"/>
                <w:sz w:val="17"/>
              </w:rPr>
              <w:t>Security concepts, shared responsibility, Zero Trust, encryption, GRC, and identity foundations.</w:t>
            </w:r>
          </w:p>
        </w:tc>
      </w:tr>
      <w:tr>
        <w:tc>
          <w:tcPr>
            <w:tcW w:type="dxa" w:w="4032"/>
            <w:vAlign w:val="top"/>
            <w:shd w:fill="F8FAFC"/>
          </w:tcPr>
          <w:p>
            <w:r/>
            <w:r>
              <w:rPr>
                <w:b/>
                <w:sz w:val="17"/>
              </w:rPr>
              <w:t>Introduction to Microsoft Entra</w:t>
            </w:r>
          </w:p>
        </w:tc>
        <w:tc>
          <w:tcPr>
            <w:tcW w:type="dxa" w:w="1440"/>
            <w:vAlign w:val="top"/>
            <w:shd w:fill="FFFFFF"/>
          </w:tcPr>
          <w:p>
            <w:r/>
            <w:r>
              <w:rPr>
                <w:b w:val="0"/>
                <w:sz w:val="17"/>
              </w:rPr>
              <w:t>Beginner</w:t>
            </w:r>
          </w:p>
        </w:tc>
        <w:tc>
          <w:tcPr>
            <w:tcW w:type="dxa" w:w="2160"/>
            <w:vAlign w:val="top"/>
            <w:shd w:fill="FFFFFF"/>
          </w:tcPr>
          <w:p>
            <w:r/>
            <w:r>
              <w:rPr>
                <w:b w:val="0"/>
                <w:sz w:val="17"/>
              </w:rPr>
              <w:t>Student, business user</w:t>
            </w:r>
          </w:p>
        </w:tc>
        <w:tc>
          <w:tcPr>
            <w:tcW w:type="dxa" w:w="3888"/>
            <w:vAlign w:val="top"/>
            <w:shd w:fill="FFFFFF"/>
          </w:tcPr>
          <w:p>
            <w:r/>
            <w:r>
              <w:rPr>
                <w:b w:val="0"/>
                <w:sz w:val="17"/>
              </w:rPr>
              <w:t>Identity types, authentication, MFA, password protection, and identity governance context.</w:t>
            </w:r>
          </w:p>
        </w:tc>
      </w:tr>
      <w:tr>
        <w:tc>
          <w:tcPr>
            <w:tcW w:type="dxa" w:w="4032"/>
            <w:vAlign w:val="top"/>
            <w:shd w:fill="F8FAFC"/>
          </w:tcPr>
          <w:p>
            <w:r/>
            <w:r>
              <w:rPr>
                <w:b/>
                <w:sz w:val="17"/>
              </w:rPr>
              <w:t>Introduction to Microsoft security solutions</w:t>
            </w:r>
          </w:p>
        </w:tc>
        <w:tc>
          <w:tcPr>
            <w:tcW w:type="dxa" w:w="1440"/>
            <w:vAlign w:val="top"/>
            <w:shd w:fill="FFFFFF"/>
          </w:tcPr>
          <w:p>
            <w:r/>
            <w:r>
              <w:rPr>
                <w:b w:val="0"/>
                <w:sz w:val="17"/>
              </w:rPr>
              <w:t>Beginner</w:t>
            </w:r>
          </w:p>
        </w:tc>
        <w:tc>
          <w:tcPr>
            <w:tcW w:type="dxa" w:w="2160"/>
            <w:vAlign w:val="top"/>
            <w:shd w:fill="FFFFFF"/>
          </w:tcPr>
          <w:p>
            <w:r/>
            <w:r>
              <w:rPr>
                <w:b w:val="0"/>
                <w:sz w:val="17"/>
              </w:rPr>
              <w:t>Student, business user</w:t>
            </w:r>
          </w:p>
        </w:tc>
        <w:tc>
          <w:tcPr>
            <w:tcW w:type="dxa" w:w="3888"/>
            <w:vAlign w:val="top"/>
            <w:shd w:fill="FFFFFF"/>
          </w:tcPr>
          <w:p>
            <w:r/>
            <w:r>
              <w:rPr>
                <w:b w:val="0"/>
                <w:sz w:val="17"/>
              </w:rPr>
              <w:t>Security Copilot, Azure infrastructure security, Defender for Cloud, and Defender XDR context.</w:t>
            </w:r>
          </w:p>
        </w:tc>
      </w:tr>
      <w:tr>
        <w:tc>
          <w:tcPr>
            <w:tcW w:type="dxa" w:w="4032"/>
            <w:vAlign w:val="top"/>
            <w:shd w:fill="F8FAFC"/>
          </w:tcPr>
          <w:p>
            <w:r/>
            <w:r>
              <w:rPr>
                <w:b/>
                <w:sz w:val="17"/>
              </w:rPr>
              <w:t>Introduction to Microsoft Purview and privacy principles</w:t>
            </w:r>
          </w:p>
        </w:tc>
        <w:tc>
          <w:tcPr>
            <w:tcW w:type="dxa" w:w="1440"/>
            <w:vAlign w:val="top"/>
            <w:shd w:fill="FFFFFF"/>
          </w:tcPr>
          <w:p>
            <w:r/>
            <w:r>
              <w:rPr>
                <w:b w:val="0"/>
                <w:sz w:val="17"/>
              </w:rPr>
              <w:t>Beginner</w:t>
            </w:r>
          </w:p>
        </w:tc>
        <w:tc>
          <w:tcPr>
            <w:tcW w:type="dxa" w:w="2160"/>
            <w:vAlign w:val="top"/>
            <w:shd w:fill="FFFFFF"/>
          </w:tcPr>
          <w:p>
            <w:r/>
            <w:r>
              <w:rPr>
                <w:b w:val="0"/>
                <w:sz w:val="17"/>
              </w:rPr>
              <w:t>Student, business user</w:t>
            </w:r>
          </w:p>
        </w:tc>
        <w:tc>
          <w:tcPr>
            <w:tcW w:type="dxa" w:w="3888"/>
            <w:vAlign w:val="top"/>
            <w:shd w:fill="FFFFFF"/>
          </w:tcPr>
          <w:p>
            <w:r/>
            <w:r>
              <w:rPr>
                <w:b w:val="0"/>
                <w:sz w:val="17"/>
              </w:rPr>
              <w:t>Data classification, sensitivity labels, DLP, insider risk, and privacy principles.</w:t>
            </w:r>
          </w:p>
        </w:tc>
      </w:tr>
      <w:tr>
        <w:tc>
          <w:tcPr>
            <w:tcW w:type="dxa" w:w="4032"/>
            <w:vAlign w:val="top"/>
            <w:shd w:fill="F8FAFC"/>
          </w:tcPr>
          <w:p>
            <w:r/>
            <w:r>
              <w:rPr>
                <w:b/>
                <w:sz w:val="17"/>
              </w:rPr>
              <w:t>Manage security posture by using Microsoft Defender for Cloud</w:t>
            </w:r>
          </w:p>
        </w:tc>
        <w:tc>
          <w:tcPr>
            <w:tcW w:type="dxa" w:w="1440"/>
            <w:vAlign w:val="top"/>
            <w:shd w:fill="FFFFFF"/>
          </w:tcPr>
          <w:p>
            <w:r/>
            <w:r>
              <w:rPr>
                <w:b w:val="0"/>
                <w:sz w:val="17"/>
              </w:rPr>
              <w:t>Intermediate</w:t>
            </w:r>
          </w:p>
        </w:tc>
        <w:tc>
          <w:tcPr>
            <w:tcW w:type="dxa" w:w="2160"/>
            <w:vAlign w:val="top"/>
            <w:shd w:fill="FFFFFF"/>
          </w:tcPr>
          <w:p>
            <w:r/>
            <w:r>
              <w:rPr>
                <w:b w:val="0"/>
                <w:sz w:val="17"/>
              </w:rPr>
              <w:t>Administrator, security engineer</w:t>
            </w:r>
          </w:p>
        </w:tc>
        <w:tc>
          <w:tcPr>
            <w:tcW w:type="dxa" w:w="3888"/>
            <w:vAlign w:val="top"/>
            <w:shd w:fill="FFFFFF"/>
          </w:tcPr>
          <w:p>
            <w:r/>
            <w:r>
              <w:rPr>
                <w:b w:val="0"/>
                <w:sz w:val="17"/>
              </w:rPr>
              <w:t>Hybrid/multicloud connection, CSPM, EASM, compliance, workload plans, and vulnerability management.</w:t>
            </w:r>
          </w:p>
        </w:tc>
      </w:tr>
      <w:tr>
        <w:tc>
          <w:tcPr>
            <w:tcW w:type="dxa" w:w="4032"/>
            <w:vAlign w:val="top"/>
            <w:shd w:fill="F8FAFC"/>
          </w:tcPr>
          <w:p>
            <w:r/>
            <w:r>
              <w:rPr>
                <w:b/>
                <w:sz w:val="17"/>
              </w:rPr>
              <w:t>Mitigate threats using Microsoft Defender for Cloud</w:t>
            </w:r>
          </w:p>
        </w:tc>
        <w:tc>
          <w:tcPr>
            <w:tcW w:type="dxa" w:w="1440"/>
            <w:vAlign w:val="top"/>
            <w:shd w:fill="FFFFFF"/>
          </w:tcPr>
          <w:p>
            <w:r/>
            <w:r>
              <w:rPr>
                <w:b w:val="0"/>
                <w:sz w:val="17"/>
              </w:rPr>
              <w:t>Intermediate</w:t>
            </w:r>
          </w:p>
        </w:tc>
        <w:tc>
          <w:tcPr>
            <w:tcW w:type="dxa" w:w="2160"/>
            <w:vAlign w:val="top"/>
            <w:shd w:fill="FFFFFF"/>
          </w:tcPr>
          <w:p>
            <w:r/>
            <w:r>
              <w:rPr>
                <w:b w:val="0"/>
                <w:sz w:val="17"/>
              </w:rPr>
              <w:t>Security operations analyst</w:t>
            </w:r>
          </w:p>
        </w:tc>
        <w:tc>
          <w:tcPr>
            <w:tcW w:type="dxa" w:w="3888"/>
            <w:vAlign w:val="top"/>
            <w:shd w:fill="FFFFFF"/>
          </w:tcPr>
          <w:p>
            <w:r/>
            <w:r>
              <w:rPr>
                <w:b w:val="0"/>
                <w:sz w:val="17"/>
              </w:rPr>
              <w:t>Threat mitigation, workload protection, Azure and non-Azure connection, and security posture management.</w:t>
            </w:r>
          </w:p>
        </w:tc>
      </w:tr>
      <w:tr>
        <w:tc>
          <w:tcPr>
            <w:tcW w:type="dxa" w:w="4032"/>
            <w:vAlign w:val="top"/>
            <w:shd w:fill="F8FAFC"/>
          </w:tcPr>
          <w:p>
            <w:r/>
            <w:r>
              <w:rPr>
                <w:b/>
                <w:sz w:val="17"/>
              </w:rPr>
              <w:t>Secure AI solutions using Defender for Cloud and Microsoft Entra</w:t>
            </w:r>
          </w:p>
        </w:tc>
        <w:tc>
          <w:tcPr>
            <w:tcW w:type="dxa" w:w="1440"/>
            <w:vAlign w:val="top"/>
            <w:shd w:fill="FFFFFF"/>
          </w:tcPr>
          <w:p>
            <w:r/>
            <w:r>
              <w:rPr>
                <w:b w:val="0"/>
                <w:sz w:val="17"/>
              </w:rPr>
              <w:t>Intermediate</w:t>
            </w:r>
          </w:p>
        </w:tc>
        <w:tc>
          <w:tcPr>
            <w:tcW w:type="dxa" w:w="2160"/>
            <w:vAlign w:val="top"/>
            <w:shd w:fill="FFFFFF"/>
          </w:tcPr>
          <w:p>
            <w:r/>
            <w:r>
              <w:rPr>
                <w:b w:val="0"/>
                <w:sz w:val="17"/>
              </w:rPr>
              <w:t>Security engineer</w:t>
            </w:r>
          </w:p>
        </w:tc>
        <w:tc>
          <w:tcPr>
            <w:tcW w:type="dxa" w:w="3888"/>
            <w:vAlign w:val="top"/>
            <w:shd w:fill="FFFFFF"/>
          </w:tcPr>
          <w:p>
            <w:r/>
            <w:r>
              <w:rPr>
                <w:b w:val="0"/>
                <w:sz w:val="17"/>
              </w:rPr>
              <w:t>AI workload security, Foundry protection, and identity controls for AI workloads.</w:t>
            </w:r>
          </w:p>
        </w:tc>
      </w:tr>
      <w:tr>
        <w:tc>
          <w:tcPr>
            <w:tcW w:type="dxa" w:w="4032"/>
            <w:vAlign w:val="top"/>
            <w:shd w:fill="F8FAFC"/>
          </w:tcPr>
          <w:p>
            <w:r/>
            <w:r>
              <w:rPr>
                <w:b/>
                <w:sz w:val="17"/>
              </w:rPr>
              <w:t>SC-100T00-A: Microsoft Cybersecurity Architect</w:t>
            </w:r>
          </w:p>
        </w:tc>
        <w:tc>
          <w:tcPr>
            <w:tcW w:type="dxa" w:w="1440"/>
            <w:vAlign w:val="top"/>
            <w:shd w:fill="FFFFFF"/>
          </w:tcPr>
          <w:p>
            <w:r/>
            <w:r>
              <w:rPr>
                <w:b w:val="0"/>
                <w:sz w:val="17"/>
              </w:rPr>
              <w:t>Advanced</w:t>
            </w:r>
          </w:p>
        </w:tc>
        <w:tc>
          <w:tcPr>
            <w:tcW w:type="dxa" w:w="2160"/>
            <w:vAlign w:val="top"/>
            <w:shd w:fill="FFFFFF"/>
          </w:tcPr>
          <w:p>
            <w:r/>
            <w:r>
              <w:rPr>
                <w:b w:val="0"/>
                <w:sz w:val="17"/>
              </w:rPr>
              <w:t>Solution architect</w:t>
            </w:r>
          </w:p>
        </w:tc>
        <w:tc>
          <w:tcPr>
            <w:tcW w:type="dxa" w:w="3888"/>
            <w:vAlign w:val="top"/>
            <w:shd w:fill="FFFFFF"/>
          </w:tcPr>
          <w:p>
            <w:r/>
            <w:r>
              <w:rPr>
                <w:b w:val="0"/>
                <w:sz w:val="17"/>
              </w:rPr>
              <w:t>Reference architecture, Zero Trust, CAF, WAF, MCRA, SecOps, identity, applications, data, and infrastructure.</w:t>
            </w:r>
          </w:p>
        </w:tc>
      </w:tr>
    </w:tbl>
    <w:p/>
    <w:p>
      <w:r>
        <w:br w:type="page"/>
      </w:r>
    </w:p>
    <w:p>
      <w:pPr>
        <w:spacing w:before="60" w:after="0"/>
      </w:pPr>
      <w:r>
        <w:rPr>
          <w:b/>
          <w:color w:val="0F62FE"/>
          <w:sz w:val="16"/>
        </w:rPr>
        <w:t>SECTION 6</w:t>
      </w:r>
    </w:p>
    <w:p>
      <w:pPr>
        <w:spacing w:before="0" w:after="120"/>
      </w:pPr>
      <w:r>
        <w:rPr>
          <w:b/>
          <w:color w:val="1F2937"/>
          <w:sz w:val="36"/>
        </w:rPr>
        <w:t>Lab Environment, Permissions, and Safety Rules</w:t>
      </w:r>
    </w:p>
    <w:p>
      <w:pPr>
        <w:spacing w:before="0" w:after="160"/>
      </w:pPr>
      <w:r>
        <w:rPr>
          <w:color w:val="4B5563"/>
          <w:sz w:val="20"/>
        </w:rPr>
        <w:t>The course is hands-on only when the required permissions, budget approval, and safe lab scope are in place.</w:t>
      </w:r>
    </w:p>
    <w:p>
      <w:pPr>
        <w:pBdr>
          <w:bottom w:val="single" w:sz="8" w:space="1" w:color="0F62FE"/>
        </w:pBdr>
      </w:pPr>
    </w:p>
    <w:p>
      <w:r>
        <w:rPr>
          <w:b/>
        </w:rPr>
        <w:t xml:space="preserve">Lab model. </w:t>
      </w:r>
      <w:r>
        <w:t>The preferred student lab model is an instructor-controlled Azure tenant or approved training subscription with student-specific resource groups. Production or customer subscriptions should be treated as review-only unless explicit written approval, change control, rollback, and budget controls are in place.</w:t>
      </w:r>
    </w:p>
    <w:p>
      <w:pPr>
        <w:pStyle w:val="Heading2"/>
      </w:pPr>
      <w:r>
        <w:t>Recommended role model</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08"/>
        <w:gridCol w:w="3408"/>
        <w:gridCol w:w="3408"/>
      </w:tblGrid>
      <w:tr>
        <w:tc>
          <w:tcPr>
            <w:tcW w:type="dxa" w:w="1872"/>
            <w:vAlign w:val="top"/>
            <w:shd w:fill="0F62FE"/>
          </w:tcPr>
          <w:p>
            <w:r/>
            <w:r>
              <w:rPr>
                <w:b/>
                <w:color w:val="FFFFFF"/>
                <w:sz w:val="17"/>
              </w:rPr>
              <w:t>Role</w:t>
            </w:r>
          </w:p>
        </w:tc>
        <w:tc>
          <w:tcPr>
            <w:tcW w:type="dxa" w:w="5760"/>
            <w:vAlign w:val="top"/>
            <w:shd w:fill="0F62FE"/>
          </w:tcPr>
          <w:p>
            <w:r/>
            <w:r>
              <w:rPr>
                <w:b/>
                <w:color w:val="FFFFFF"/>
                <w:sz w:val="17"/>
              </w:rPr>
              <w:t>Recommended student use</w:t>
            </w:r>
          </w:p>
        </w:tc>
        <w:tc>
          <w:tcPr>
            <w:tcW w:type="dxa" w:w="3312"/>
            <w:vAlign w:val="top"/>
            <w:shd w:fill="0F62FE"/>
          </w:tcPr>
          <w:p>
            <w:r/>
            <w:r>
              <w:rPr>
                <w:b/>
                <w:color w:val="FFFFFF"/>
                <w:sz w:val="17"/>
              </w:rPr>
              <w:t>Risk control</w:t>
            </w:r>
          </w:p>
        </w:tc>
      </w:tr>
      <w:tr>
        <w:tc>
          <w:tcPr>
            <w:tcW w:type="dxa" w:w="1872"/>
            <w:vAlign w:val="top"/>
            <w:shd w:fill="F8FAFC"/>
          </w:tcPr>
          <w:p>
            <w:r/>
            <w:r>
              <w:rPr>
                <w:b/>
                <w:sz w:val="17"/>
              </w:rPr>
              <w:t>Reader</w:t>
            </w:r>
          </w:p>
        </w:tc>
        <w:tc>
          <w:tcPr>
            <w:tcW w:type="dxa" w:w="5760"/>
            <w:vAlign w:val="top"/>
            <w:shd w:fill="FFFFFF"/>
          </w:tcPr>
          <w:p>
            <w:r/>
            <w:r>
              <w:rPr>
                <w:b w:val="0"/>
                <w:sz w:val="17"/>
              </w:rPr>
              <w:t>Observation labs, posture review, inventory, recommendations, and Secure Score review.</w:t>
            </w:r>
          </w:p>
        </w:tc>
        <w:tc>
          <w:tcPr>
            <w:tcW w:type="dxa" w:w="3312"/>
            <w:vAlign w:val="top"/>
            <w:shd w:fill="FFFFFF"/>
          </w:tcPr>
          <w:p>
            <w:r/>
            <w:r>
              <w:rPr>
                <w:b w:val="0"/>
                <w:sz w:val="17"/>
              </w:rPr>
              <w:t>Default for most students.</w:t>
            </w:r>
          </w:p>
        </w:tc>
      </w:tr>
      <w:tr>
        <w:tc>
          <w:tcPr>
            <w:tcW w:type="dxa" w:w="1872"/>
            <w:vAlign w:val="top"/>
            <w:shd w:fill="F8FAFC"/>
          </w:tcPr>
          <w:p>
            <w:r/>
            <w:r>
              <w:rPr>
                <w:b/>
                <w:sz w:val="17"/>
              </w:rPr>
              <w:t>Contributor</w:t>
            </w:r>
          </w:p>
        </w:tc>
        <w:tc>
          <w:tcPr>
            <w:tcW w:type="dxa" w:w="5760"/>
            <w:vAlign w:val="top"/>
            <w:shd w:fill="FFFFFF"/>
          </w:tcPr>
          <w:p>
            <w:r/>
            <w:r>
              <w:rPr>
                <w:b w:val="0"/>
                <w:sz w:val="17"/>
              </w:rPr>
              <w:t>Create lab resources and apply limited remediation in assigned resource groups.</w:t>
            </w:r>
          </w:p>
        </w:tc>
        <w:tc>
          <w:tcPr>
            <w:tcW w:type="dxa" w:w="3312"/>
            <w:vAlign w:val="top"/>
            <w:shd w:fill="FFFFFF"/>
          </w:tcPr>
          <w:p>
            <w:r/>
            <w:r>
              <w:rPr>
                <w:b w:val="0"/>
                <w:sz w:val="17"/>
              </w:rPr>
              <w:t>Scope only to assigned resource group where possible.</w:t>
            </w:r>
          </w:p>
        </w:tc>
      </w:tr>
      <w:tr>
        <w:tc>
          <w:tcPr>
            <w:tcW w:type="dxa" w:w="1872"/>
            <w:vAlign w:val="top"/>
            <w:shd w:fill="F8FAFC"/>
          </w:tcPr>
          <w:p>
            <w:r/>
            <w:r>
              <w:rPr>
                <w:b/>
                <w:sz w:val="17"/>
              </w:rPr>
              <w:t>Security Admin</w:t>
            </w:r>
          </w:p>
        </w:tc>
        <w:tc>
          <w:tcPr>
            <w:tcW w:type="dxa" w:w="5760"/>
            <w:vAlign w:val="top"/>
            <w:shd w:fill="FFFFFF"/>
          </w:tcPr>
          <w:p>
            <w:r/>
            <w:r>
              <w:rPr>
                <w:b w:val="0"/>
                <w:sz w:val="17"/>
              </w:rPr>
              <w:t>Enable or manage selected Defender plans and policies where the lab requires it.</w:t>
            </w:r>
          </w:p>
        </w:tc>
        <w:tc>
          <w:tcPr>
            <w:tcW w:type="dxa" w:w="3312"/>
            <w:vAlign w:val="top"/>
            <w:shd w:fill="FFFFFF"/>
          </w:tcPr>
          <w:p>
            <w:r/>
            <w:r>
              <w:rPr>
                <w:b w:val="0"/>
                <w:sz w:val="17"/>
              </w:rPr>
              <w:t>Use selectively and monitor changes.</w:t>
            </w:r>
          </w:p>
        </w:tc>
      </w:tr>
      <w:tr>
        <w:tc>
          <w:tcPr>
            <w:tcW w:type="dxa" w:w="1872"/>
            <w:vAlign w:val="top"/>
            <w:shd w:fill="F8FAFC"/>
          </w:tcPr>
          <w:p>
            <w:r/>
            <w:r>
              <w:rPr>
                <w:b/>
                <w:sz w:val="17"/>
              </w:rPr>
              <w:t>Owner</w:t>
            </w:r>
          </w:p>
        </w:tc>
        <w:tc>
          <w:tcPr>
            <w:tcW w:type="dxa" w:w="5760"/>
            <w:vAlign w:val="top"/>
            <w:shd w:fill="FFFFFF"/>
          </w:tcPr>
          <w:p>
            <w:r/>
            <w:r>
              <w:rPr>
                <w:b w:val="0"/>
                <w:sz w:val="17"/>
              </w:rPr>
              <w:t>Reserved for instructor, lab lead, or tightly controlled plan enablement scenarios.</w:t>
            </w:r>
          </w:p>
        </w:tc>
        <w:tc>
          <w:tcPr>
            <w:tcW w:type="dxa" w:w="3312"/>
            <w:vAlign w:val="top"/>
            <w:shd w:fill="FFFFFF"/>
          </w:tcPr>
          <w:p>
            <w:r/>
            <w:r>
              <w:rPr>
                <w:b w:val="0"/>
                <w:sz w:val="17"/>
              </w:rPr>
              <w:t>Do not assign broadly.</w:t>
            </w:r>
          </w:p>
        </w:tc>
      </w:tr>
      <w:tr>
        <w:tc>
          <w:tcPr>
            <w:tcW w:type="dxa" w:w="1872"/>
            <w:vAlign w:val="top"/>
            <w:shd w:fill="F8FAFC"/>
          </w:tcPr>
          <w:p>
            <w:r/>
            <w:r>
              <w:rPr>
                <w:b/>
                <w:sz w:val="17"/>
              </w:rPr>
              <w:t>Global Administrator</w:t>
            </w:r>
          </w:p>
        </w:tc>
        <w:tc>
          <w:tcPr>
            <w:tcW w:type="dxa" w:w="5760"/>
            <w:vAlign w:val="top"/>
            <w:shd w:fill="FFFFFF"/>
          </w:tcPr>
          <w:p>
            <w:r/>
            <w:r>
              <w:rPr>
                <w:b w:val="0"/>
                <w:sz w:val="17"/>
              </w:rPr>
              <w:t>Not required for normal student lab work.</w:t>
            </w:r>
          </w:p>
        </w:tc>
        <w:tc>
          <w:tcPr>
            <w:tcW w:type="dxa" w:w="3312"/>
            <w:vAlign w:val="top"/>
            <w:shd w:fill="FFFFFF"/>
          </w:tcPr>
          <w:p>
            <w:r/>
            <w:r>
              <w:rPr>
                <w:b w:val="0"/>
                <w:sz w:val="17"/>
              </w:rPr>
              <w:t>Reserve for emergency or instructor-controlled tenant management only.</w:t>
            </w:r>
          </w:p>
        </w:tc>
      </w:tr>
    </w:tbl>
    <w:p/>
    <w:p>
      <w:pPr>
        <w:pStyle w:val="Heading2"/>
      </w:pPr>
      <w:r>
        <w:t>Data handling rules</w:t>
      </w:r>
    </w:p>
    <w:p>
      <w:pPr>
        <w:pStyle w:val="ListBullet"/>
      </w:pPr>
      <w:r>
        <w:t>Do not upload real customer, personal, HR, legal, financial, regulated, or confidential data into lab resources.</w:t>
      </w:r>
    </w:p>
    <w:p>
      <w:pPr>
        <w:pStyle w:val="ListBullet"/>
      </w:pPr>
      <w:r>
        <w:t>Do not paste confidential business information, secrets, keys, credentials, source code, or proprietary customer data into AI prompts.</w:t>
      </w:r>
    </w:p>
    <w:p>
      <w:pPr>
        <w:pStyle w:val="ListBullet"/>
      </w:pPr>
      <w:r>
        <w:t>Use only test files, sanitized data, instructor-provided artifacts, or deliberately disposable sample workloads.</w:t>
      </w:r>
    </w:p>
    <w:p>
      <w:pPr>
        <w:pStyle w:val="ListBullet"/>
      </w:pPr>
      <w:r>
        <w:t>Capture screenshots only of allowed lab views. Do not expose secrets, tokens, keys, customer tenant identifiers, or sensitive resource names.</w:t>
      </w:r>
    </w:p>
    <w:p>
      <w:pPr>
        <w:pStyle w:val="ListBullet"/>
      </w:pPr>
      <w:r>
        <w:t>Clean up lab resources and temporary role assignments when instructed.</w:t>
      </w:r>
    </w:p>
    <w:tbl>
      <w:tblPr>
        <w:tblW w:type="auto" w:w="0"/>
        <w:jc w:val="center"/>
        <w:tblLayout w:type="autofit"/>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224"/>
      </w:tblGrid>
      <w:tr>
        <w:tc>
          <w:tcPr>
            <w:tcW w:type="dxa" w:w="10224"/>
            <w:shd w:fill="FFF7ED"/>
          </w:tcPr>
          <w:p>
            <w:pPr>
              <w:spacing w:after="60"/>
            </w:pPr>
            <w:r>
              <w:rPr>
                <w:b/>
                <w:color w:val="1F2937"/>
                <w:sz w:val="20"/>
              </w:rPr>
              <w:t>Paid plan warning</w:t>
            </w:r>
          </w:p>
          <w:p>
            <w:pPr>
              <w:spacing w:after="0"/>
            </w:pPr>
            <w:r>
              <w:rPr>
                <w:sz w:val="18"/>
              </w:rPr>
              <w:t>Some Microsoft Defender for Cloud workload protection plans may create cost. Students must not enable paid plans outside the assigned subscription, resource group, or approved scope.</w:t>
            </w:r>
          </w:p>
        </w:tc>
      </w:tr>
    </w:tbl>
    <w:p/>
    <w:p>
      <w:pPr>
        <w:pStyle w:val="Heading2"/>
      </w:pPr>
      <w:r>
        <w:t>Approved live environment controls</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3024"/>
            <w:vAlign w:val="top"/>
            <w:shd w:fill="0F62FE"/>
          </w:tcPr>
          <w:p>
            <w:r/>
            <w:r>
              <w:rPr>
                <w:b/>
                <w:color w:val="FFFFFF"/>
                <w:sz w:val="17"/>
              </w:rPr>
              <w:t>Control</w:t>
            </w:r>
          </w:p>
        </w:tc>
        <w:tc>
          <w:tcPr>
            <w:tcW w:type="dxa" w:w="7632"/>
            <w:vAlign w:val="top"/>
            <w:shd w:fill="0F62FE"/>
          </w:tcPr>
          <w:p>
            <w:r/>
            <w:r>
              <w:rPr>
                <w:b/>
                <w:color w:val="FFFFFF"/>
                <w:sz w:val="17"/>
              </w:rPr>
              <w:t>Required student understanding</w:t>
            </w:r>
          </w:p>
        </w:tc>
      </w:tr>
      <w:tr>
        <w:tc>
          <w:tcPr>
            <w:tcW w:type="dxa" w:w="3024"/>
            <w:vAlign w:val="top"/>
            <w:shd w:fill="F8FAFC"/>
          </w:tcPr>
          <w:p>
            <w:r/>
            <w:r>
              <w:rPr>
                <w:b/>
                <w:sz w:val="17"/>
              </w:rPr>
              <w:t>Written approval</w:t>
            </w:r>
          </w:p>
        </w:tc>
        <w:tc>
          <w:tcPr>
            <w:tcW w:type="dxa" w:w="7632"/>
            <w:vAlign w:val="top"/>
            <w:shd w:fill="FFFFFF"/>
          </w:tcPr>
          <w:p>
            <w:r/>
            <w:r>
              <w:rPr>
                <w:b w:val="0"/>
                <w:sz w:val="17"/>
              </w:rPr>
              <w:t>No live/customer subscription changes without explicit approval.</w:t>
            </w:r>
          </w:p>
        </w:tc>
      </w:tr>
      <w:tr>
        <w:tc>
          <w:tcPr>
            <w:tcW w:type="dxa" w:w="3024"/>
            <w:vAlign w:val="top"/>
            <w:shd w:fill="F8FAFC"/>
          </w:tcPr>
          <w:p>
            <w:r/>
            <w:r>
              <w:rPr>
                <w:b/>
                <w:sz w:val="17"/>
              </w:rPr>
              <w:t>Named scope</w:t>
            </w:r>
          </w:p>
        </w:tc>
        <w:tc>
          <w:tcPr>
            <w:tcW w:type="dxa" w:w="7632"/>
            <w:vAlign w:val="top"/>
            <w:shd w:fill="FFFFFF"/>
          </w:tcPr>
          <w:p>
            <w:r/>
            <w:r>
              <w:rPr>
                <w:b w:val="0"/>
                <w:sz w:val="17"/>
              </w:rPr>
              <w:t>Confirm which subscription, management group, or resource group is in scope.</w:t>
            </w:r>
          </w:p>
        </w:tc>
      </w:tr>
      <w:tr>
        <w:tc>
          <w:tcPr>
            <w:tcW w:type="dxa" w:w="3024"/>
            <w:vAlign w:val="top"/>
            <w:shd w:fill="F8FAFC"/>
          </w:tcPr>
          <w:p>
            <w:r/>
            <w:r>
              <w:rPr>
                <w:b/>
                <w:sz w:val="17"/>
              </w:rPr>
              <w:t>Change window</w:t>
            </w:r>
          </w:p>
        </w:tc>
        <w:tc>
          <w:tcPr>
            <w:tcW w:type="dxa" w:w="7632"/>
            <w:vAlign w:val="top"/>
            <w:shd w:fill="FFFFFF"/>
          </w:tcPr>
          <w:p>
            <w:r/>
            <w:r>
              <w:rPr>
                <w:b w:val="0"/>
                <w:sz w:val="17"/>
              </w:rPr>
              <w:t>Use a planned window for enabling plans, deploying agents, or changing policy.</w:t>
            </w:r>
          </w:p>
        </w:tc>
      </w:tr>
      <w:tr>
        <w:tc>
          <w:tcPr>
            <w:tcW w:type="dxa" w:w="3024"/>
            <w:vAlign w:val="top"/>
            <w:shd w:fill="F8FAFC"/>
          </w:tcPr>
          <w:p>
            <w:r/>
            <w:r>
              <w:rPr>
                <w:b/>
                <w:sz w:val="17"/>
              </w:rPr>
              <w:t>Rollback plan</w:t>
            </w:r>
          </w:p>
        </w:tc>
        <w:tc>
          <w:tcPr>
            <w:tcW w:type="dxa" w:w="7632"/>
            <w:vAlign w:val="top"/>
            <w:shd w:fill="FFFFFF"/>
          </w:tcPr>
          <w:p>
            <w:r/>
            <w:r>
              <w:rPr>
                <w:b w:val="0"/>
                <w:sz w:val="17"/>
              </w:rPr>
              <w:t>Know how changes will be disabled or reverted.</w:t>
            </w:r>
          </w:p>
        </w:tc>
      </w:tr>
      <w:tr>
        <w:tc>
          <w:tcPr>
            <w:tcW w:type="dxa" w:w="3024"/>
            <w:vAlign w:val="top"/>
            <w:shd w:fill="F8FAFC"/>
          </w:tcPr>
          <w:p>
            <w:r/>
            <w:r>
              <w:rPr>
                <w:b/>
                <w:sz w:val="17"/>
              </w:rPr>
              <w:t>Break-glass access</w:t>
            </w:r>
          </w:p>
        </w:tc>
        <w:tc>
          <w:tcPr>
            <w:tcW w:type="dxa" w:w="7632"/>
            <w:vAlign w:val="top"/>
            <w:shd w:fill="FFFFFF"/>
          </w:tcPr>
          <w:p>
            <w:r/>
            <w:r>
              <w:rPr>
                <w:b w:val="0"/>
                <w:sz w:val="17"/>
              </w:rPr>
              <w:t>Instructor or customer admin maintains emergency access.</w:t>
            </w:r>
          </w:p>
        </w:tc>
      </w:tr>
      <w:tr>
        <w:tc>
          <w:tcPr>
            <w:tcW w:type="dxa" w:w="3024"/>
            <w:vAlign w:val="top"/>
            <w:shd w:fill="F8FAFC"/>
          </w:tcPr>
          <w:p>
            <w:r/>
            <w:r>
              <w:rPr>
                <w:b/>
                <w:sz w:val="17"/>
              </w:rPr>
              <w:t>Audit trail</w:t>
            </w:r>
          </w:p>
        </w:tc>
        <w:tc>
          <w:tcPr>
            <w:tcW w:type="dxa" w:w="7632"/>
            <w:vAlign w:val="top"/>
            <w:shd w:fill="FFFFFF"/>
          </w:tcPr>
          <w:p>
            <w:r/>
            <w:r>
              <w:rPr>
                <w:b w:val="0"/>
                <w:sz w:val="17"/>
              </w:rPr>
              <w:t>Use named accounts only; avoid shared credentials.</w:t>
            </w:r>
          </w:p>
        </w:tc>
      </w:tr>
    </w:tbl>
    <w:p/>
    <w:p>
      <w:r>
        <w:br w:type="page"/>
      </w:r>
    </w:p>
    <w:p>
      <w:pPr>
        <w:spacing w:before="60" w:after="0"/>
      </w:pPr>
      <w:r>
        <w:rPr>
          <w:b/>
          <w:color w:val="0F62FE"/>
          <w:sz w:val="16"/>
        </w:rPr>
        <w:t>SECTION 7</w:t>
      </w:r>
    </w:p>
    <w:p>
      <w:pPr>
        <w:spacing w:before="0" w:after="120"/>
      </w:pPr>
      <w:r>
        <w:rPr>
          <w:b/>
          <w:color w:val="1F2937"/>
          <w:sz w:val="36"/>
        </w:rPr>
        <w:t>Workload Protection Tracks</w:t>
      </w:r>
    </w:p>
    <w:p>
      <w:pPr>
        <w:spacing w:before="0" w:after="160"/>
      </w:pPr>
      <w:r>
        <w:rPr>
          <w:color w:val="4B5563"/>
          <w:sz w:val="20"/>
        </w:rPr>
        <w:t>The workshop selects two of four workload modules to keep the one-day experience focused and practical.</w:t>
      </w:r>
    </w:p>
    <w:p>
      <w:pPr>
        <w:pBdr>
          <w:bottom w:val="single" w:sz="8" w:space="1" w:color="0F62FE"/>
        </w:pBdr>
      </w:pPr>
    </w:p>
    <w:p>
      <w:r>
        <w:rPr>
          <w:b w:val="0"/>
        </w:rPr>
        <w:t xml:space="preserve">The syllabus allows the instructor or customer team to select </w:t>
      </w:r>
      <w:r>
        <w:rPr>
          <w:b/>
        </w:rPr>
        <w:t xml:space="preserve">two out of four </w:t>
      </w:r>
      <w:r>
        <w:t>workload protection modules. Selection should be driven by the audience, environment readiness, risk profile, and permission model.</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56"/>
        <w:gridCol w:w="2556"/>
        <w:gridCol w:w="2556"/>
        <w:gridCol w:w="2556"/>
      </w:tblGrid>
      <w:tr>
        <w:tc>
          <w:tcPr>
            <w:tcW w:type="dxa" w:w="2016"/>
            <w:vAlign w:val="top"/>
            <w:shd w:fill="0F62FE"/>
          </w:tcPr>
          <w:p>
            <w:r/>
            <w:r>
              <w:rPr>
                <w:b/>
                <w:color w:val="FFFFFF"/>
                <w:sz w:val="17"/>
              </w:rPr>
              <w:t>Track</w:t>
            </w:r>
          </w:p>
        </w:tc>
        <w:tc>
          <w:tcPr>
            <w:tcW w:type="dxa" w:w="3168"/>
            <w:vAlign w:val="top"/>
            <w:shd w:fill="0F62FE"/>
          </w:tcPr>
          <w:p>
            <w:r/>
            <w:r>
              <w:rPr>
                <w:b/>
                <w:color w:val="FFFFFF"/>
                <w:sz w:val="17"/>
              </w:rPr>
              <w:t>What it protects</w:t>
            </w:r>
          </w:p>
        </w:tc>
        <w:tc>
          <w:tcPr>
            <w:tcW w:type="dxa" w:w="3168"/>
            <w:vAlign w:val="top"/>
            <w:shd w:fill="0F62FE"/>
          </w:tcPr>
          <w:p>
            <w:r/>
            <w:r>
              <w:rPr>
                <w:b/>
                <w:color w:val="FFFFFF"/>
                <w:sz w:val="17"/>
              </w:rPr>
              <w:t>Typical hands-on focus</w:t>
            </w:r>
          </w:p>
        </w:tc>
        <w:tc>
          <w:tcPr>
            <w:tcW w:type="dxa" w:w="2880"/>
            <w:vAlign w:val="top"/>
            <w:shd w:fill="0F62FE"/>
          </w:tcPr>
          <w:p>
            <w:r/>
            <w:r>
              <w:rPr>
                <w:b/>
                <w:color w:val="FFFFFF"/>
                <w:sz w:val="17"/>
              </w:rPr>
              <w:t>Readiness requirement</w:t>
            </w:r>
          </w:p>
        </w:tc>
      </w:tr>
      <w:tr>
        <w:tc>
          <w:tcPr>
            <w:tcW w:type="dxa" w:w="2016"/>
            <w:vAlign w:val="top"/>
            <w:shd w:fill="F8FAFC"/>
          </w:tcPr>
          <w:p>
            <w:r/>
            <w:r>
              <w:rPr>
                <w:b/>
                <w:sz w:val="17"/>
              </w:rPr>
              <w:t>Defender for Storage</w:t>
            </w:r>
          </w:p>
        </w:tc>
        <w:tc>
          <w:tcPr>
            <w:tcW w:type="dxa" w:w="3168"/>
            <w:vAlign w:val="top"/>
            <w:shd w:fill="FFFFFF"/>
          </w:tcPr>
          <w:p>
            <w:r/>
            <w:r>
              <w:rPr>
                <w:b w:val="0"/>
                <w:sz w:val="17"/>
              </w:rPr>
              <w:t>Data layers, blob activity, malware upload risk, and suspicious access patterns.</w:t>
            </w:r>
          </w:p>
        </w:tc>
        <w:tc>
          <w:tcPr>
            <w:tcW w:type="dxa" w:w="3168"/>
            <w:vAlign w:val="top"/>
            <w:shd w:fill="FFFFFF"/>
          </w:tcPr>
          <w:p>
            <w:r/>
            <w:r>
              <w:rPr>
                <w:b w:val="0"/>
                <w:sz w:val="17"/>
              </w:rPr>
              <w:t>Review storage posture, enable plan where approved, test sample upload/access scenarios.</w:t>
            </w:r>
          </w:p>
        </w:tc>
        <w:tc>
          <w:tcPr>
            <w:tcW w:type="dxa" w:w="2880"/>
            <w:vAlign w:val="top"/>
            <w:shd w:fill="FFFFFF"/>
          </w:tcPr>
          <w:p>
            <w:r/>
            <w:r>
              <w:rPr>
                <w:b w:val="0"/>
                <w:sz w:val="17"/>
              </w:rPr>
              <w:t>Azure subscription, Defender for Cloud enabled, storage account, blob container, and test files only.</w:t>
            </w:r>
          </w:p>
        </w:tc>
      </w:tr>
      <w:tr>
        <w:tc>
          <w:tcPr>
            <w:tcW w:type="dxa" w:w="2016"/>
            <w:vAlign w:val="top"/>
            <w:shd w:fill="F8FAFC"/>
          </w:tcPr>
          <w:p>
            <w:r/>
            <w:r>
              <w:rPr>
                <w:b/>
                <w:sz w:val="17"/>
              </w:rPr>
              <w:t>Defender for Containers</w:t>
            </w:r>
          </w:p>
        </w:tc>
        <w:tc>
          <w:tcPr>
            <w:tcW w:type="dxa" w:w="3168"/>
            <w:vAlign w:val="top"/>
            <w:shd w:fill="FFFFFF"/>
          </w:tcPr>
          <w:p>
            <w:r/>
            <w:r>
              <w:rPr>
                <w:b w:val="0"/>
                <w:sz w:val="17"/>
              </w:rPr>
              <w:t>AKS and containerized workloads.</w:t>
            </w:r>
          </w:p>
        </w:tc>
        <w:tc>
          <w:tcPr>
            <w:tcW w:type="dxa" w:w="3168"/>
            <w:vAlign w:val="top"/>
            <w:shd w:fill="FFFFFF"/>
          </w:tcPr>
          <w:p>
            <w:r/>
            <w:r>
              <w:rPr>
                <w:b w:val="0"/>
                <w:sz w:val="17"/>
              </w:rPr>
              <w:t>Review Kubernetes posture, registry/image risk, container recommendations, and sensor coverage where available.</w:t>
            </w:r>
          </w:p>
        </w:tc>
        <w:tc>
          <w:tcPr>
            <w:tcW w:type="dxa" w:w="2880"/>
            <w:vAlign w:val="top"/>
            <w:shd w:fill="FFFFFF"/>
          </w:tcPr>
          <w:p>
            <w:r/>
            <w:r>
              <w:rPr>
                <w:b w:val="0"/>
                <w:sz w:val="17"/>
              </w:rPr>
              <w:t>AKS cluster, supported Kubernetes version, network access, permissions, and cost control.</w:t>
            </w:r>
          </w:p>
        </w:tc>
      </w:tr>
      <w:tr>
        <w:tc>
          <w:tcPr>
            <w:tcW w:type="dxa" w:w="2016"/>
            <w:vAlign w:val="top"/>
            <w:shd w:fill="F8FAFC"/>
          </w:tcPr>
          <w:p>
            <w:r/>
            <w:r>
              <w:rPr>
                <w:b/>
                <w:sz w:val="17"/>
              </w:rPr>
              <w:t>Defender for App Service</w:t>
            </w:r>
          </w:p>
        </w:tc>
        <w:tc>
          <w:tcPr>
            <w:tcW w:type="dxa" w:w="3168"/>
            <w:vAlign w:val="top"/>
            <w:shd w:fill="FFFFFF"/>
          </w:tcPr>
          <w:p>
            <w:r/>
            <w:r>
              <w:rPr>
                <w:b w:val="0"/>
                <w:sz w:val="17"/>
              </w:rPr>
              <w:t>Cloud-native applications and runtime environments.</w:t>
            </w:r>
          </w:p>
        </w:tc>
        <w:tc>
          <w:tcPr>
            <w:tcW w:type="dxa" w:w="3168"/>
            <w:vAlign w:val="top"/>
            <w:shd w:fill="FFFFFF"/>
          </w:tcPr>
          <w:p>
            <w:r/>
            <w:r>
              <w:rPr>
                <w:b w:val="0"/>
                <w:sz w:val="17"/>
              </w:rPr>
              <w:t>Review App Service posture, recommendations, runtime protection concepts, and logging/diagnostics options.</w:t>
            </w:r>
          </w:p>
        </w:tc>
        <w:tc>
          <w:tcPr>
            <w:tcW w:type="dxa" w:w="2880"/>
            <w:vAlign w:val="top"/>
            <w:shd w:fill="FFFFFF"/>
          </w:tcPr>
          <w:p>
            <w:r/>
            <w:r>
              <w:rPr>
                <w:b w:val="0"/>
                <w:sz w:val="17"/>
              </w:rPr>
              <w:t>App Service plan, sample app, isolated resource group, and selected Defender plan.</w:t>
            </w:r>
          </w:p>
        </w:tc>
      </w:tr>
      <w:tr>
        <w:tc>
          <w:tcPr>
            <w:tcW w:type="dxa" w:w="2016"/>
            <w:vAlign w:val="top"/>
            <w:shd w:fill="F8FAFC"/>
          </w:tcPr>
          <w:p>
            <w:r/>
            <w:r>
              <w:rPr>
                <w:b/>
                <w:sz w:val="17"/>
              </w:rPr>
              <w:t>Defender for AI Services</w:t>
            </w:r>
          </w:p>
        </w:tc>
        <w:tc>
          <w:tcPr>
            <w:tcW w:type="dxa" w:w="3168"/>
            <w:vAlign w:val="top"/>
            <w:shd w:fill="FFFFFF"/>
          </w:tcPr>
          <w:p>
            <w:r/>
            <w:r>
              <w:rPr>
                <w:b w:val="0"/>
                <w:sz w:val="17"/>
              </w:rPr>
              <w:t>Azure AI services, Microsoft Foundry, AI workload posture, and threat monitoring.</w:t>
            </w:r>
          </w:p>
        </w:tc>
        <w:tc>
          <w:tcPr>
            <w:tcW w:type="dxa" w:w="3168"/>
            <w:vAlign w:val="top"/>
            <w:shd w:fill="FFFFFF"/>
          </w:tcPr>
          <w:p>
            <w:r/>
            <w:r>
              <w:rPr>
                <w:b w:val="0"/>
                <w:sz w:val="17"/>
              </w:rPr>
              <w:t>Enable or review AI workload plan, monitor Data and AI security dashboard, discuss prompt injection and data leakage risks.</w:t>
            </w:r>
          </w:p>
        </w:tc>
        <w:tc>
          <w:tcPr>
            <w:tcW w:type="dxa" w:w="2880"/>
            <w:vAlign w:val="top"/>
            <w:shd w:fill="FFFFFF"/>
          </w:tcPr>
          <w:p>
            <w:r/>
            <w:r>
              <w:rPr>
                <w:b w:val="0"/>
                <w:sz w:val="17"/>
              </w:rPr>
              <w:t>Azure AI/Foundry resources, model endpoint, Owner or Contributor where enablement is required, and strict prompt/data safety rules.</w:t>
            </w:r>
          </w:p>
        </w:tc>
      </w:tr>
    </w:tbl>
    <w:p/>
    <w:p>
      <w:pPr>
        <w:pStyle w:val="Heading2"/>
      </w:pPr>
      <w:r>
        <w:t>How module selection is decided</w:t>
      </w:r>
    </w:p>
    <w:p>
      <w:pPr>
        <w:pStyle w:val="ListNumber"/>
      </w:pPr>
      <w:r>
        <w:t>Start with business risk: data exposure, app security, container workloads, or AI adoption.</w:t>
      </w:r>
    </w:p>
    <w:p>
      <w:pPr>
        <w:pStyle w:val="ListNumber"/>
      </w:pPr>
      <w:r>
        <w:t>Confirm lab readiness: permissions, subscription access, resource availability, and cost approval.</w:t>
      </w:r>
    </w:p>
    <w:p>
      <w:pPr>
        <w:pStyle w:val="ListNumber"/>
      </w:pPr>
      <w:r>
        <w:t>Prioritize learning value: choose modules that reflect real operational decisions students will make after class.</w:t>
      </w:r>
    </w:p>
    <w:p>
      <w:pPr>
        <w:pStyle w:val="ListNumber"/>
      </w:pPr>
      <w:r>
        <w:t>Avoid unsafe live changes: use demonstration mode where production risk or permissions block hands-on work.</w:t>
      </w:r>
    </w:p>
    <w:tbl>
      <w:tblPr>
        <w:tblW w:type="auto" w:w="0"/>
        <w:jc w:val="center"/>
        <w:tblLayout w:type="autofit"/>
        <w:tblLook w:firstColumn="1" w:firstRow="1" w:lastColumn="0" w:lastRow="0" w:noHBand="0" w:noVBand="1" w:val="04A0"/>
        <w:tblBorders>
          <w:top w:val="single" w:sz="8" w:space="0" w:color="10B981"/>
          <w:left w:val="single" w:sz="8" w:space="0" w:color="10B981"/>
          <w:bottom w:val="single" w:sz="8" w:space="0" w:color="10B981"/>
          <w:right w:val="single" w:sz="8" w:space="0" w:color="10B981"/>
          <w:insideH w:val="single" w:sz="8" w:space="0" w:color="10B981"/>
          <w:insideV w:val="single" w:sz="8" w:space="0" w:color="10B981"/>
        </w:tblBorders>
      </w:tblPr>
      <w:tblGrid>
        <w:gridCol w:w="10224"/>
      </w:tblGrid>
      <w:tr>
        <w:tc>
          <w:tcPr>
            <w:tcW w:type="dxa" w:w="10224"/>
            <w:shd w:fill="E7F8EF"/>
          </w:tcPr>
          <w:p>
            <w:pPr>
              <w:spacing w:after="60"/>
            </w:pPr>
            <w:r>
              <w:rPr>
                <w:b/>
                <w:color w:val="1F2937"/>
                <w:sz w:val="20"/>
              </w:rPr>
              <w:t>Recommended default for mixed audiences</w:t>
            </w:r>
          </w:p>
          <w:p>
            <w:pPr>
              <w:spacing w:after="0"/>
            </w:pPr>
            <w:r>
              <w:rPr>
                <w:sz w:val="18"/>
              </w:rPr>
              <w:t>For a broad one-day student group, start with CSPM plus Defender for Storage or App Service. Add Defender for AI Services where Azure AI or Microsoft Foundry resources are available and data handling controls are clear.</w:t>
            </w:r>
          </w:p>
        </w:tc>
      </w:tr>
    </w:tbl>
    <w:p/>
    <w:p>
      <w:pPr>
        <w:spacing w:before="60" w:after="0"/>
      </w:pPr>
      <w:r>
        <w:rPr>
          <w:b/>
          <w:color w:val="0F62FE"/>
          <w:sz w:val="16"/>
        </w:rPr>
        <w:t>SECTION 8</w:t>
      </w:r>
    </w:p>
    <w:p>
      <w:pPr>
        <w:spacing w:before="0" w:after="120"/>
      </w:pPr>
      <w:r>
        <w:rPr>
          <w:b/>
          <w:color w:val="1F2937"/>
          <w:sz w:val="36"/>
        </w:rPr>
        <w:t>Practical Workflow During Labs</w:t>
      </w:r>
    </w:p>
    <w:p>
      <w:pPr>
        <w:spacing w:before="0" w:after="160"/>
      </w:pPr>
      <w:r>
        <w:rPr>
          <w:color w:val="4B5563"/>
          <w:sz w:val="20"/>
        </w:rPr>
        <w:t>Use this repeatable workflow for posture review, workload protection, and remediation discussions.</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08"/>
        <w:gridCol w:w="3408"/>
        <w:gridCol w:w="3408"/>
      </w:tblGrid>
      <w:tr>
        <w:tc>
          <w:tcPr>
            <w:tcW w:type="dxa" w:w="1584"/>
            <w:vAlign w:val="top"/>
            <w:shd w:fill="0F62FE"/>
          </w:tcPr>
          <w:p>
            <w:r/>
            <w:r>
              <w:rPr>
                <w:b/>
                <w:color w:val="FFFFFF"/>
                <w:sz w:val="17"/>
              </w:rPr>
              <w:t>Step</w:t>
            </w:r>
          </w:p>
        </w:tc>
        <w:tc>
          <w:tcPr>
            <w:tcW w:type="dxa" w:w="5184"/>
            <w:vAlign w:val="top"/>
            <w:shd w:fill="0F62FE"/>
          </w:tcPr>
          <w:p>
            <w:r/>
            <w:r>
              <w:rPr>
                <w:b/>
                <w:color w:val="FFFFFF"/>
                <w:sz w:val="17"/>
              </w:rPr>
              <w:t>Student action</w:t>
            </w:r>
          </w:p>
        </w:tc>
        <w:tc>
          <w:tcPr>
            <w:tcW w:type="dxa" w:w="3888"/>
            <w:vAlign w:val="top"/>
            <w:shd w:fill="0F62FE"/>
          </w:tcPr>
          <w:p>
            <w:r/>
            <w:r>
              <w:rPr>
                <w:b/>
                <w:color w:val="FFFFFF"/>
                <w:sz w:val="17"/>
              </w:rPr>
              <w:t>Expected output</w:t>
            </w:r>
          </w:p>
        </w:tc>
      </w:tr>
      <w:tr>
        <w:tc>
          <w:tcPr>
            <w:tcW w:type="dxa" w:w="1584"/>
            <w:vAlign w:val="top"/>
            <w:shd w:fill="F8FAFC"/>
          </w:tcPr>
          <w:p>
            <w:r/>
            <w:r>
              <w:rPr>
                <w:b/>
                <w:sz w:val="17"/>
              </w:rPr>
              <w:t>1. Confirm scope</w:t>
            </w:r>
          </w:p>
        </w:tc>
        <w:tc>
          <w:tcPr>
            <w:tcW w:type="dxa" w:w="5184"/>
            <w:vAlign w:val="top"/>
            <w:shd w:fill="FFFFFF"/>
          </w:tcPr>
          <w:p>
            <w:r/>
            <w:r>
              <w:rPr>
                <w:b w:val="0"/>
                <w:sz w:val="17"/>
              </w:rPr>
              <w:t>Check tenant, subscription, resource group, and role assignment.</w:t>
            </w:r>
          </w:p>
        </w:tc>
        <w:tc>
          <w:tcPr>
            <w:tcW w:type="dxa" w:w="3888"/>
            <w:vAlign w:val="top"/>
            <w:shd w:fill="FFFFFF"/>
          </w:tcPr>
          <w:p>
            <w:r/>
            <w:r>
              <w:rPr>
                <w:b w:val="0"/>
                <w:sz w:val="17"/>
              </w:rPr>
              <w:t>Known safe working scope.</w:t>
            </w:r>
          </w:p>
        </w:tc>
      </w:tr>
      <w:tr>
        <w:tc>
          <w:tcPr>
            <w:tcW w:type="dxa" w:w="1584"/>
            <w:vAlign w:val="top"/>
            <w:shd w:fill="F8FAFC"/>
          </w:tcPr>
          <w:p>
            <w:r/>
            <w:r>
              <w:rPr>
                <w:b/>
                <w:sz w:val="17"/>
              </w:rPr>
              <w:t>2. Observe posture</w:t>
            </w:r>
          </w:p>
        </w:tc>
        <w:tc>
          <w:tcPr>
            <w:tcW w:type="dxa" w:w="5184"/>
            <w:vAlign w:val="top"/>
            <w:shd w:fill="FFFFFF"/>
          </w:tcPr>
          <w:p>
            <w:r/>
            <w:r>
              <w:rPr>
                <w:b w:val="0"/>
                <w:sz w:val="17"/>
              </w:rPr>
              <w:t>Review Secure Score, recommendations, inventory, regulatory compliance, workbooks, and exposure paths.</w:t>
            </w:r>
          </w:p>
        </w:tc>
        <w:tc>
          <w:tcPr>
            <w:tcW w:type="dxa" w:w="3888"/>
            <w:vAlign w:val="top"/>
            <w:shd w:fill="FFFFFF"/>
          </w:tcPr>
          <w:p>
            <w:r/>
            <w:r>
              <w:rPr>
                <w:b w:val="0"/>
                <w:sz w:val="17"/>
              </w:rPr>
              <w:t>Initial risk view.</w:t>
            </w:r>
          </w:p>
        </w:tc>
      </w:tr>
      <w:tr>
        <w:tc>
          <w:tcPr>
            <w:tcW w:type="dxa" w:w="1584"/>
            <w:vAlign w:val="top"/>
            <w:shd w:fill="F8FAFC"/>
          </w:tcPr>
          <w:p>
            <w:r/>
            <w:r>
              <w:rPr>
                <w:b/>
                <w:sz w:val="17"/>
              </w:rPr>
              <w:t>3. Prioritize risk</w:t>
            </w:r>
          </w:p>
        </w:tc>
        <w:tc>
          <w:tcPr>
            <w:tcW w:type="dxa" w:w="5184"/>
            <w:vAlign w:val="top"/>
            <w:shd w:fill="FFFFFF"/>
          </w:tcPr>
          <w:p>
            <w:r/>
            <w:r>
              <w:rPr>
                <w:b w:val="0"/>
                <w:sz w:val="17"/>
              </w:rPr>
              <w:t>Identify high-impact findings, internet exposure, over-privileged identities, vulnerable resources, or missing plans.</w:t>
            </w:r>
          </w:p>
        </w:tc>
        <w:tc>
          <w:tcPr>
            <w:tcW w:type="dxa" w:w="3888"/>
            <w:vAlign w:val="top"/>
            <w:shd w:fill="FFFFFF"/>
          </w:tcPr>
          <w:p>
            <w:r/>
            <w:r>
              <w:rPr>
                <w:b w:val="0"/>
                <w:sz w:val="17"/>
              </w:rPr>
              <w:t>Short risk-ranked list.</w:t>
            </w:r>
          </w:p>
        </w:tc>
      </w:tr>
      <w:tr>
        <w:tc>
          <w:tcPr>
            <w:tcW w:type="dxa" w:w="1584"/>
            <w:vAlign w:val="top"/>
            <w:shd w:fill="F8FAFC"/>
          </w:tcPr>
          <w:p>
            <w:r/>
            <w:r>
              <w:rPr>
                <w:b/>
                <w:sz w:val="17"/>
              </w:rPr>
              <w:t>4. Select control</w:t>
            </w:r>
          </w:p>
        </w:tc>
        <w:tc>
          <w:tcPr>
            <w:tcW w:type="dxa" w:w="5184"/>
            <w:vAlign w:val="top"/>
            <w:shd w:fill="FFFFFF"/>
          </w:tcPr>
          <w:p>
            <w:r/>
            <w:r>
              <w:rPr>
                <w:b w:val="0"/>
                <w:sz w:val="17"/>
              </w:rPr>
              <w:t>Choose an appropriate Defender plan, policy, or remediation path.</w:t>
            </w:r>
          </w:p>
        </w:tc>
        <w:tc>
          <w:tcPr>
            <w:tcW w:type="dxa" w:w="3888"/>
            <w:vAlign w:val="top"/>
            <w:shd w:fill="FFFFFF"/>
          </w:tcPr>
          <w:p>
            <w:r/>
            <w:r>
              <w:rPr>
                <w:b w:val="0"/>
                <w:sz w:val="17"/>
              </w:rPr>
              <w:t>Justified technical control.</w:t>
            </w:r>
          </w:p>
        </w:tc>
      </w:tr>
      <w:tr>
        <w:tc>
          <w:tcPr>
            <w:tcW w:type="dxa" w:w="1584"/>
            <w:vAlign w:val="top"/>
            <w:shd w:fill="F8FAFC"/>
          </w:tcPr>
          <w:p>
            <w:r/>
            <w:r>
              <w:rPr>
                <w:b/>
                <w:sz w:val="17"/>
              </w:rPr>
              <w:t>5. Configure or simulate</w:t>
            </w:r>
          </w:p>
        </w:tc>
        <w:tc>
          <w:tcPr>
            <w:tcW w:type="dxa" w:w="5184"/>
            <w:vAlign w:val="top"/>
            <w:shd w:fill="FFFFFF"/>
          </w:tcPr>
          <w:p>
            <w:r/>
            <w:r>
              <w:rPr>
                <w:b w:val="0"/>
                <w:sz w:val="17"/>
              </w:rPr>
              <w:t>Perform the approved action in the lab or observe the instructor demonstration.</w:t>
            </w:r>
          </w:p>
        </w:tc>
        <w:tc>
          <w:tcPr>
            <w:tcW w:type="dxa" w:w="3888"/>
            <w:vAlign w:val="top"/>
            <w:shd w:fill="FFFFFF"/>
          </w:tcPr>
          <w:p>
            <w:r/>
            <w:r>
              <w:rPr>
                <w:b w:val="0"/>
                <w:sz w:val="17"/>
              </w:rPr>
              <w:t>Configuration evidence or scenario notes.</w:t>
            </w:r>
          </w:p>
        </w:tc>
      </w:tr>
      <w:tr>
        <w:tc>
          <w:tcPr>
            <w:tcW w:type="dxa" w:w="1584"/>
            <w:vAlign w:val="top"/>
            <w:shd w:fill="F8FAFC"/>
          </w:tcPr>
          <w:p>
            <w:r/>
            <w:r>
              <w:rPr>
                <w:b/>
                <w:sz w:val="17"/>
              </w:rPr>
              <w:t>6. Validate</w:t>
            </w:r>
          </w:p>
        </w:tc>
        <w:tc>
          <w:tcPr>
            <w:tcW w:type="dxa" w:w="5184"/>
            <w:vAlign w:val="top"/>
            <w:shd w:fill="FFFFFF"/>
          </w:tcPr>
          <w:p>
            <w:r/>
            <w:r>
              <w:rPr>
                <w:b w:val="0"/>
                <w:sz w:val="17"/>
              </w:rPr>
              <w:t>Confirm recommendations, alerts, workbooks, or coverage views update as expected.</w:t>
            </w:r>
          </w:p>
        </w:tc>
        <w:tc>
          <w:tcPr>
            <w:tcW w:type="dxa" w:w="3888"/>
            <w:vAlign w:val="top"/>
            <w:shd w:fill="FFFFFF"/>
          </w:tcPr>
          <w:p>
            <w:r/>
            <w:r>
              <w:rPr>
                <w:b w:val="0"/>
                <w:sz w:val="17"/>
              </w:rPr>
              <w:t>Validation evidence.</w:t>
            </w:r>
          </w:p>
        </w:tc>
      </w:tr>
      <w:tr>
        <w:tc>
          <w:tcPr>
            <w:tcW w:type="dxa" w:w="1584"/>
            <w:vAlign w:val="top"/>
            <w:shd w:fill="F8FAFC"/>
          </w:tcPr>
          <w:p>
            <w:r/>
            <w:r>
              <w:rPr>
                <w:b/>
                <w:sz w:val="17"/>
              </w:rPr>
              <w:t>7. Document remediation</w:t>
            </w:r>
          </w:p>
        </w:tc>
        <w:tc>
          <w:tcPr>
            <w:tcW w:type="dxa" w:w="5184"/>
            <w:vAlign w:val="top"/>
            <w:shd w:fill="FFFFFF"/>
          </w:tcPr>
          <w:p>
            <w:r/>
            <w:r>
              <w:rPr>
                <w:b w:val="0"/>
                <w:sz w:val="17"/>
              </w:rPr>
              <w:t>Capture the finding, impact, recommended action, owner, and next step.</w:t>
            </w:r>
          </w:p>
        </w:tc>
        <w:tc>
          <w:tcPr>
            <w:tcW w:type="dxa" w:w="3888"/>
            <w:vAlign w:val="top"/>
            <w:shd w:fill="FFFFFF"/>
          </w:tcPr>
          <w:p>
            <w:r/>
            <w:r>
              <w:rPr>
                <w:b w:val="0"/>
                <w:sz w:val="17"/>
              </w:rPr>
              <w:t>Remediation summary.</w:t>
            </w:r>
          </w:p>
        </w:tc>
      </w:tr>
      <w:tr>
        <w:tc>
          <w:tcPr>
            <w:tcW w:type="dxa" w:w="1584"/>
            <w:vAlign w:val="top"/>
            <w:shd w:fill="F8FAFC"/>
          </w:tcPr>
          <w:p>
            <w:r/>
            <w:r>
              <w:rPr>
                <w:b/>
                <w:sz w:val="17"/>
              </w:rPr>
              <w:t>8. Clean up</w:t>
            </w:r>
          </w:p>
        </w:tc>
        <w:tc>
          <w:tcPr>
            <w:tcW w:type="dxa" w:w="5184"/>
            <w:vAlign w:val="top"/>
            <w:shd w:fill="FFFFFF"/>
          </w:tcPr>
          <w:p>
            <w:r/>
            <w:r>
              <w:rPr>
                <w:b w:val="0"/>
                <w:sz w:val="17"/>
              </w:rPr>
              <w:t>Remove resources, disable unneeded plans, and revoke temporary access as instructed.</w:t>
            </w:r>
          </w:p>
        </w:tc>
        <w:tc>
          <w:tcPr>
            <w:tcW w:type="dxa" w:w="3888"/>
            <w:vAlign w:val="top"/>
            <w:shd w:fill="FFFFFF"/>
          </w:tcPr>
          <w:p>
            <w:r/>
            <w:r>
              <w:rPr>
                <w:b w:val="0"/>
                <w:sz w:val="17"/>
              </w:rPr>
              <w:t>Reduced cost and risk after lab.</w:t>
            </w:r>
          </w:p>
        </w:tc>
      </w:tr>
    </w:tbl>
    <w:p/>
    <w:p>
      <w:r>
        <w:br w:type="page"/>
      </w:r>
    </w:p>
    <w:p>
      <w:pPr>
        <w:spacing w:before="60" w:after="0"/>
      </w:pPr>
      <w:r>
        <w:rPr>
          <w:b/>
          <w:color w:val="0F62FE"/>
          <w:sz w:val="16"/>
        </w:rPr>
        <w:t>SECTION 9</w:t>
      </w:r>
    </w:p>
    <w:p>
      <w:pPr>
        <w:spacing w:before="0" w:after="120"/>
      </w:pPr>
      <w:r>
        <w:rPr>
          <w:b/>
          <w:color w:val="1F2937"/>
          <w:sz w:val="36"/>
        </w:rPr>
        <w:t>Assessment, Participation, and Evidence Expectations</w:t>
      </w:r>
    </w:p>
    <w:p>
      <w:pPr>
        <w:spacing w:before="0" w:after="160"/>
      </w:pPr>
      <w:r>
        <w:rPr>
          <w:color w:val="4B5563"/>
          <w:sz w:val="20"/>
        </w:rPr>
        <w:t>The assessment model is designed to test applied reasoning, not only recall.</w:t>
      </w:r>
    </w:p>
    <w:p>
      <w:pPr>
        <w:pBdr>
          <w:bottom w:val="single" w:sz="8" w:space="1" w:color="0F62FE"/>
        </w:pBdr>
      </w:pPr>
    </w:p>
    <w:p>
      <w:r>
        <w:rPr>
          <w:b/>
        </w:rPr>
        <w:t xml:space="preserve">Assessment approach. </w:t>
      </w:r>
      <w:r>
        <w:t>Students are expected to participate in scenario analysis, complete assigned knowledge checks, capture required lab evidence, and contribute to remediation planning discussions. The instructor may adapt the assessment depending on whether the class is delivered as an executive workshop, technical implementation class, or self-paced online module.</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08"/>
        <w:gridCol w:w="3408"/>
        <w:gridCol w:w="3408"/>
      </w:tblGrid>
      <w:tr>
        <w:tc>
          <w:tcPr>
            <w:tcW w:type="dxa" w:w="2592"/>
            <w:vAlign w:val="top"/>
            <w:shd w:fill="0F62FE"/>
          </w:tcPr>
          <w:p>
            <w:r/>
            <w:r>
              <w:rPr>
                <w:b/>
                <w:color w:val="FFFFFF"/>
                <w:sz w:val="17"/>
              </w:rPr>
              <w:t>Component</w:t>
            </w:r>
          </w:p>
        </w:tc>
        <w:tc>
          <w:tcPr>
            <w:tcW w:type="dxa" w:w="4320"/>
            <w:vAlign w:val="top"/>
            <w:shd w:fill="0F62FE"/>
          </w:tcPr>
          <w:p>
            <w:r/>
            <w:r>
              <w:rPr>
                <w:b/>
                <w:color w:val="FFFFFF"/>
                <w:sz w:val="17"/>
              </w:rPr>
              <w:t>Purpose</w:t>
            </w:r>
          </w:p>
        </w:tc>
        <w:tc>
          <w:tcPr>
            <w:tcW w:type="dxa" w:w="3744"/>
            <w:vAlign w:val="top"/>
            <w:shd w:fill="0F62FE"/>
          </w:tcPr>
          <w:p>
            <w:r/>
            <w:r>
              <w:rPr>
                <w:b/>
                <w:color w:val="FFFFFF"/>
                <w:sz w:val="17"/>
              </w:rPr>
              <w:t>Typical evidence</w:t>
            </w:r>
          </w:p>
        </w:tc>
      </w:tr>
      <w:tr>
        <w:tc>
          <w:tcPr>
            <w:tcW w:type="dxa" w:w="2592"/>
            <w:vAlign w:val="top"/>
            <w:shd w:fill="F8FAFC"/>
          </w:tcPr>
          <w:p>
            <w:r/>
            <w:r>
              <w:rPr>
                <w:b/>
                <w:sz w:val="17"/>
              </w:rPr>
              <w:t>Knowledge checks</w:t>
            </w:r>
          </w:p>
        </w:tc>
        <w:tc>
          <w:tcPr>
            <w:tcW w:type="dxa" w:w="4320"/>
            <w:vAlign w:val="top"/>
            <w:shd w:fill="FFFFFF"/>
          </w:tcPr>
          <w:p>
            <w:r/>
            <w:r>
              <w:rPr>
                <w:b w:val="0"/>
                <w:sz w:val="17"/>
              </w:rPr>
              <w:t>Validate understanding of concepts, terminology, permissions, and Defender capabilities.</w:t>
            </w:r>
          </w:p>
        </w:tc>
        <w:tc>
          <w:tcPr>
            <w:tcW w:type="dxa" w:w="3744"/>
            <w:vAlign w:val="top"/>
            <w:shd w:fill="FFFFFF"/>
          </w:tcPr>
          <w:p>
            <w:r/>
            <w:r>
              <w:rPr>
                <w:b w:val="0"/>
                <w:sz w:val="17"/>
              </w:rPr>
              <w:t>Quiz results or instructor-reviewed answers.</w:t>
            </w:r>
          </w:p>
        </w:tc>
      </w:tr>
      <w:tr>
        <w:tc>
          <w:tcPr>
            <w:tcW w:type="dxa" w:w="2592"/>
            <w:vAlign w:val="top"/>
            <w:shd w:fill="F8FAFC"/>
          </w:tcPr>
          <w:p>
            <w:r/>
            <w:r>
              <w:rPr>
                <w:b/>
                <w:sz w:val="17"/>
              </w:rPr>
              <w:t>Lab tasks</w:t>
            </w:r>
          </w:p>
        </w:tc>
        <w:tc>
          <w:tcPr>
            <w:tcW w:type="dxa" w:w="4320"/>
            <w:vAlign w:val="top"/>
            <w:shd w:fill="FFFFFF"/>
          </w:tcPr>
          <w:p>
            <w:r/>
            <w:r>
              <w:rPr>
                <w:b w:val="0"/>
                <w:sz w:val="17"/>
              </w:rPr>
              <w:t>Demonstrate ability to navigate portals, inspect posture, and perform approved configuration steps.</w:t>
            </w:r>
          </w:p>
        </w:tc>
        <w:tc>
          <w:tcPr>
            <w:tcW w:type="dxa" w:w="3744"/>
            <w:vAlign w:val="top"/>
            <w:shd w:fill="FFFFFF"/>
          </w:tcPr>
          <w:p>
            <w:r/>
            <w:r>
              <w:rPr>
                <w:b w:val="0"/>
                <w:sz w:val="17"/>
              </w:rPr>
              <w:t>Screenshots, notes, resource names, and brief explanations.</w:t>
            </w:r>
          </w:p>
        </w:tc>
      </w:tr>
      <w:tr>
        <w:tc>
          <w:tcPr>
            <w:tcW w:type="dxa" w:w="2592"/>
            <w:vAlign w:val="top"/>
            <w:shd w:fill="F8FAFC"/>
          </w:tcPr>
          <w:p>
            <w:r/>
            <w:r>
              <w:rPr>
                <w:b/>
                <w:sz w:val="17"/>
              </w:rPr>
              <w:t>Scenario discussion</w:t>
            </w:r>
          </w:p>
        </w:tc>
        <w:tc>
          <w:tcPr>
            <w:tcW w:type="dxa" w:w="4320"/>
            <w:vAlign w:val="top"/>
            <w:shd w:fill="FFFFFF"/>
          </w:tcPr>
          <w:p>
            <w:r/>
            <w:r>
              <w:rPr>
                <w:b w:val="0"/>
                <w:sz w:val="17"/>
              </w:rPr>
              <w:t>Connect business risk to technical controls and remediation priorities.</w:t>
            </w:r>
          </w:p>
        </w:tc>
        <w:tc>
          <w:tcPr>
            <w:tcW w:type="dxa" w:w="3744"/>
            <w:vAlign w:val="top"/>
            <w:shd w:fill="FFFFFF"/>
          </w:tcPr>
          <w:p>
            <w:r/>
            <w:r>
              <w:rPr>
                <w:b w:val="0"/>
                <w:sz w:val="17"/>
              </w:rPr>
              <w:t>Group notes, threat mapping, and prioritization decisions.</w:t>
            </w:r>
          </w:p>
        </w:tc>
      </w:tr>
      <w:tr>
        <w:tc>
          <w:tcPr>
            <w:tcW w:type="dxa" w:w="2592"/>
            <w:vAlign w:val="top"/>
            <w:shd w:fill="F8FAFC"/>
          </w:tcPr>
          <w:p>
            <w:r/>
            <w:r>
              <w:rPr>
                <w:b/>
                <w:sz w:val="17"/>
              </w:rPr>
              <w:t>Operational review</w:t>
            </w:r>
          </w:p>
        </w:tc>
        <w:tc>
          <w:tcPr>
            <w:tcW w:type="dxa" w:w="4320"/>
            <w:vAlign w:val="top"/>
            <w:shd w:fill="FFFFFF"/>
          </w:tcPr>
          <w:p>
            <w:r/>
            <w:r>
              <w:rPr>
                <w:b w:val="0"/>
                <w:sz w:val="17"/>
              </w:rPr>
              <w:t>Summarize environment findings and recommended next actions.</w:t>
            </w:r>
          </w:p>
        </w:tc>
        <w:tc>
          <w:tcPr>
            <w:tcW w:type="dxa" w:w="3744"/>
            <w:vAlign w:val="top"/>
            <w:shd w:fill="FFFFFF"/>
          </w:tcPr>
          <w:p>
            <w:r/>
            <w:r>
              <w:rPr>
                <w:b w:val="0"/>
                <w:sz w:val="17"/>
              </w:rPr>
              <w:t>Short remediation plan or action register.</w:t>
            </w:r>
          </w:p>
        </w:tc>
      </w:tr>
      <w:tr>
        <w:tc>
          <w:tcPr>
            <w:tcW w:type="dxa" w:w="2592"/>
            <w:vAlign w:val="top"/>
            <w:shd w:fill="F8FAFC"/>
          </w:tcPr>
          <w:p>
            <w:r/>
            <w:r>
              <w:rPr>
                <w:b/>
                <w:sz w:val="17"/>
              </w:rPr>
              <w:t>Professional conduct</w:t>
            </w:r>
          </w:p>
        </w:tc>
        <w:tc>
          <w:tcPr>
            <w:tcW w:type="dxa" w:w="4320"/>
            <w:vAlign w:val="top"/>
            <w:shd w:fill="FFFFFF"/>
          </w:tcPr>
          <w:p>
            <w:r/>
            <w:r>
              <w:rPr>
                <w:b w:val="0"/>
                <w:sz w:val="17"/>
              </w:rPr>
              <w:t>Operate safely within scope and respect data handling rules.</w:t>
            </w:r>
          </w:p>
        </w:tc>
        <w:tc>
          <w:tcPr>
            <w:tcW w:type="dxa" w:w="3744"/>
            <w:vAlign w:val="top"/>
            <w:shd w:fill="FFFFFF"/>
          </w:tcPr>
          <w:p>
            <w:r/>
            <w:r>
              <w:rPr>
                <w:b w:val="0"/>
                <w:sz w:val="17"/>
              </w:rPr>
              <w:t>No unauthorized changes or sensitive data exposure.</w:t>
            </w:r>
          </w:p>
        </w:tc>
      </w:tr>
    </w:tbl>
    <w:p/>
    <w:p>
      <w:pPr>
        <w:pStyle w:val="Heading2"/>
      </w:pPr>
      <w:r>
        <w:t>Evidence capture standard</w:t>
      </w:r>
    </w:p>
    <w:p>
      <w:pPr>
        <w:pStyle w:val="ListBullet"/>
      </w:pPr>
      <w:r>
        <w:t>Use clear screenshots that show the relevant portal area, recommendation, configuration, or validation result.</w:t>
      </w:r>
    </w:p>
    <w:p>
      <w:pPr>
        <w:pStyle w:val="ListBullet"/>
      </w:pPr>
      <w:r>
        <w:t>Do not expose secrets, access keys, tokens, passwords, private endpoints, customer personal data, or confidential identifiers.</w:t>
      </w:r>
    </w:p>
    <w:p>
      <w:pPr>
        <w:pStyle w:val="ListBullet"/>
      </w:pPr>
      <w:r>
        <w:t>Add a short caption explaining what the screenshot proves.</w:t>
      </w:r>
    </w:p>
    <w:p>
      <w:pPr>
        <w:pStyle w:val="ListBullet"/>
      </w:pPr>
      <w:r>
        <w:t>Record the resource group, resource type, and action performed where applicable.</w:t>
      </w:r>
    </w:p>
    <w:p>
      <w:pPr>
        <w:pStyle w:val="ListBullet"/>
      </w:pPr>
      <w:r>
        <w:t>Submit evidence using the LMS, Teams, Loop, GitHub issue, or mechanism specified by the instructor.</w:t>
      </w:r>
    </w:p>
    <w:tbl>
      <w:tblPr>
        <w:tblW w:type="auto" w:w="0"/>
        <w:jc w:val="center"/>
        <w:tblLayout w:type="autofit"/>
        <w:tblLook w:firstColumn="1" w:firstRow="1" w:lastColumn="0" w:lastRow="0" w:noHBand="0" w:noVBand="1" w:val="04A0"/>
        <w:tblBorders>
          <w:top w:val="single" w:sz="8" w:space="0" w:color="0F62FE"/>
          <w:left w:val="single" w:sz="8" w:space="0" w:color="0F62FE"/>
          <w:bottom w:val="single" w:sz="8" w:space="0" w:color="0F62FE"/>
          <w:right w:val="single" w:sz="8" w:space="0" w:color="0F62FE"/>
          <w:insideH w:val="single" w:sz="8" w:space="0" w:color="0F62FE"/>
          <w:insideV w:val="single" w:sz="8" w:space="0" w:color="0F62FE"/>
        </w:tblBorders>
      </w:tblPr>
      <w:tblGrid>
        <w:gridCol w:w="10224"/>
      </w:tblGrid>
      <w:tr>
        <w:tc>
          <w:tcPr>
            <w:tcW w:type="dxa" w:w="10224"/>
            <w:shd w:fill="EAF2FF"/>
          </w:tcPr>
          <w:p>
            <w:pPr>
              <w:spacing w:after="60"/>
            </w:pPr>
            <w:r>
              <w:rPr>
                <w:b/>
                <w:color w:val="1F2937"/>
                <w:sz w:val="20"/>
              </w:rPr>
              <w:t>Suggested pass criteria</w:t>
            </w:r>
          </w:p>
          <w:p>
            <w:pPr>
              <w:spacing w:after="0"/>
            </w:pPr>
            <w:r>
              <w:rPr>
                <w:sz w:val="18"/>
              </w:rPr>
              <w:t>A practical pass should require attendance, active participation, completion of assigned knowledge checks, and acceptable lab evidence or scenario output. Formal grading rules should be provided separately in the student assessment rubric.</w:t>
            </w:r>
          </w:p>
        </w:tc>
      </w:tr>
    </w:tbl>
    <w:p/>
    <w:p>
      <w:pPr>
        <w:spacing w:before="60" w:after="0"/>
      </w:pPr>
      <w:r>
        <w:rPr>
          <w:b/>
          <w:color w:val="0F62FE"/>
          <w:sz w:val="16"/>
        </w:rPr>
        <w:t>SECTION 10</w:t>
      </w:r>
    </w:p>
    <w:p>
      <w:pPr>
        <w:spacing w:before="0" w:after="120"/>
      </w:pPr>
      <w:r>
        <w:rPr>
          <w:b/>
          <w:color w:val="1F2937"/>
          <w:sz w:val="36"/>
        </w:rPr>
        <w:t>Recommended Student Study Workflow</w:t>
      </w:r>
    </w:p>
    <w:p>
      <w:pPr>
        <w:spacing w:before="0" w:after="160"/>
      </w:pPr>
      <w:r>
        <w:rPr>
          <w:color w:val="4B5563"/>
          <w:sz w:val="20"/>
        </w:rPr>
        <w:t>Use this workflow to prepare, participate, and convert the workshop into practical follow-through.</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08"/>
        <w:gridCol w:w="3408"/>
        <w:gridCol w:w="3408"/>
      </w:tblGrid>
      <w:tr>
        <w:tc>
          <w:tcPr>
            <w:tcW w:type="dxa" w:w="2592"/>
            <w:vAlign w:val="top"/>
            <w:shd w:fill="0F62FE"/>
          </w:tcPr>
          <w:p>
            <w:r/>
            <w:r>
              <w:rPr>
                <w:b/>
                <w:color w:val="FFFFFF"/>
                <w:sz w:val="17"/>
              </w:rPr>
              <w:t>Phase</w:t>
            </w:r>
          </w:p>
        </w:tc>
        <w:tc>
          <w:tcPr>
            <w:tcW w:type="dxa" w:w="5760"/>
            <w:vAlign w:val="top"/>
            <w:shd w:fill="0F62FE"/>
          </w:tcPr>
          <w:p>
            <w:r/>
            <w:r>
              <w:rPr>
                <w:b/>
                <w:color w:val="FFFFFF"/>
                <w:sz w:val="17"/>
              </w:rPr>
              <w:t>Recommended activity</w:t>
            </w:r>
          </w:p>
        </w:tc>
        <w:tc>
          <w:tcPr>
            <w:tcW w:type="dxa" w:w="2592"/>
            <w:vAlign w:val="top"/>
            <w:shd w:fill="0F62FE"/>
          </w:tcPr>
          <w:p>
            <w:r/>
            <w:r>
              <w:rPr>
                <w:b/>
                <w:color w:val="FFFFFF"/>
                <w:sz w:val="17"/>
              </w:rPr>
              <w:t>Output</w:t>
            </w:r>
          </w:p>
        </w:tc>
      </w:tr>
      <w:tr>
        <w:tc>
          <w:tcPr>
            <w:tcW w:type="dxa" w:w="2592"/>
            <w:vAlign w:val="top"/>
            <w:shd w:fill="F8FAFC"/>
          </w:tcPr>
          <w:p>
            <w:r/>
            <w:r>
              <w:rPr>
                <w:b/>
                <w:sz w:val="17"/>
              </w:rPr>
              <w:t>5-7 days before class</w:t>
            </w:r>
          </w:p>
        </w:tc>
        <w:tc>
          <w:tcPr>
            <w:tcW w:type="dxa" w:w="5760"/>
            <w:vAlign w:val="top"/>
            <w:shd w:fill="FFFFFF"/>
          </w:tcPr>
          <w:p>
            <w:r/>
            <w:r>
              <w:rPr>
                <w:b w:val="0"/>
                <w:sz w:val="17"/>
              </w:rPr>
              <w:t>Complete account checks, MFA, portal access, Microsoft Learn sign-in, and pre-work reading.</w:t>
            </w:r>
          </w:p>
        </w:tc>
        <w:tc>
          <w:tcPr>
            <w:tcW w:type="dxa" w:w="2592"/>
            <w:vAlign w:val="top"/>
            <w:shd w:fill="FFFFFF"/>
          </w:tcPr>
          <w:p>
            <w:r/>
            <w:r>
              <w:rPr>
                <w:b w:val="0"/>
                <w:sz w:val="17"/>
              </w:rPr>
              <w:t>Readiness confirmed.</w:t>
            </w:r>
          </w:p>
        </w:tc>
      </w:tr>
      <w:tr>
        <w:tc>
          <w:tcPr>
            <w:tcW w:type="dxa" w:w="2592"/>
            <w:vAlign w:val="top"/>
            <w:shd w:fill="F8FAFC"/>
          </w:tcPr>
          <w:p>
            <w:r/>
            <w:r>
              <w:rPr>
                <w:b/>
                <w:sz w:val="17"/>
              </w:rPr>
              <w:t>1-2 days before class</w:t>
            </w:r>
          </w:p>
        </w:tc>
        <w:tc>
          <w:tcPr>
            <w:tcW w:type="dxa" w:w="5760"/>
            <w:vAlign w:val="top"/>
            <w:shd w:fill="FFFFFF"/>
          </w:tcPr>
          <w:p>
            <w:r/>
            <w:r>
              <w:rPr>
                <w:b w:val="0"/>
                <w:sz w:val="17"/>
              </w:rPr>
              <w:t>Verify assigned Azure subscription, resource group, roles, and network access. Confirm no production data will be used.</w:t>
            </w:r>
          </w:p>
        </w:tc>
        <w:tc>
          <w:tcPr>
            <w:tcW w:type="dxa" w:w="2592"/>
            <w:vAlign w:val="top"/>
            <w:shd w:fill="FFFFFF"/>
          </w:tcPr>
          <w:p>
            <w:r/>
            <w:r>
              <w:rPr>
                <w:b w:val="0"/>
                <w:sz w:val="17"/>
              </w:rPr>
              <w:t>Lab access confirmed.</w:t>
            </w:r>
          </w:p>
        </w:tc>
      </w:tr>
      <w:tr>
        <w:tc>
          <w:tcPr>
            <w:tcW w:type="dxa" w:w="2592"/>
            <w:vAlign w:val="top"/>
            <w:shd w:fill="F8FAFC"/>
          </w:tcPr>
          <w:p>
            <w:r/>
            <w:r>
              <w:rPr>
                <w:b/>
                <w:sz w:val="17"/>
              </w:rPr>
              <w:t>During class</w:t>
            </w:r>
          </w:p>
        </w:tc>
        <w:tc>
          <w:tcPr>
            <w:tcW w:type="dxa" w:w="5760"/>
            <w:vAlign w:val="top"/>
            <w:shd w:fill="FFFFFF"/>
          </w:tcPr>
          <w:p>
            <w:r/>
            <w:r>
              <w:rPr>
                <w:b w:val="0"/>
                <w:sz w:val="17"/>
              </w:rPr>
              <w:t>Follow the instructor, take notes, ask scope questions, capture evidence, and complete activities in sequence.</w:t>
            </w:r>
          </w:p>
        </w:tc>
        <w:tc>
          <w:tcPr>
            <w:tcW w:type="dxa" w:w="2592"/>
            <w:vAlign w:val="top"/>
            <w:shd w:fill="FFFFFF"/>
          </w:tcPr>
          <w:p>
            <w:r/>
            <w:r>
              <w:rPr>
                <w:b w:val="0"/>
                <w:sz w:val="17"/>
              </w:rPr>
              <w:t>Lab evidence and course notes.</w:t>
            </w:r>
          </w:p>
        </w:tc>
      </w:tr>
      <w:tr>
        <w:tc>
          <w:tcPr>
            <w:tcW w:type="dxa" w:w="2592"/>
            <w:vAlign w:val="top"/>
            <w:shd w:fill="F8FAFC"/>
          </w:tcPr>
          <w:p>
            <w:r/>
            <w:r>
              <w:rPr>
                <w:b/>
                <w:sz w:val="17"/>
              </w:rPr>
              <w:t>Same day after class</w:t>
            </w:r>
          </w:p>
        </w:tc>
        <w:tc>
          <w:tcPr>
            <w:tcW w:type="dxa" w:w="5760"/>
            <w:vAlign w:val="top"/>
            <w:shd w:fill="FFFFFF"/>
          </w:tcPr>
          <w:p>
            <w:r/>
            <w:r>
              <w:rPr>
                <w:b w:val="0"/>
                <w:sz w:val="17"/>
              </w:rPr>
              <w:t>Clean up lab resources, disable unneeded paid plans, and record open questions.</w:t>
            </w:r>
          </w:p>
        </w:tc>
        <w:tc>
          <w:tcPr>
            <w:tcW w:type="dxa" w:w="2592"/>
            <w:vAlign w:val="top"/>
            <w:shd w:fill="FFFFFF"/>
          </w:tcPr>
          <w:p>
            <w:r/>
            <w:r>
              <w:rPr>
                <w:b w:val="0"/>
                <w:sz w:val="17"/>
              </w:rPr>
              <w:t>Cleanup completed.</w:t>
            </w:r>
          </w:p>
        </w:tc>
      </w:tr>
      <w:tr>
        <w:tc>
          <w:tcPr>
            <w:tcW w:type="dxa" w:w="2592"/>
            <w:vAlign w:val="top"/>
            <w:shd w:fill="F8FAFC"/>
          </w:tcPr>
          <w:p>
            <w:r/>
            <w:r>
              <w:rPr>
                <w:b/>
                <w:sz w:val="17"/>
              </w:rPr>
              <w:t>Within 7 days</w:t>
            </w:r>
          </w:p>
        </w:tc>
        <w:tc>
          <w:tcPr>
            <w:tcW w:type="dxa" w:w="5760"/>
            <w:vAlign w:val="top"/>
            <w:shd w:fill="FFFFFF"/>
          </w:tcPr>
          <w:p>
            <w:r/>
            <w:r>
              <w:rPr>
                <w:b w:val="0"/>
                <w:sz w:val="17"/>
              </w:rPr>
              <w:t>Complete remaining Microsoft Learn modules and rewrite remediation findings into an action plan.</w:t>
            </w:r>
          </w:p>
        </w:tc>
        <w:tc>
          <w:tcPr>
            <w:tcW w:type="dxa" w:w="2592"/>
            <w:vAlign w:val="top"/>
            <w:shd w:fill="FFFFFF"/>
          </w:tcPr>
          <w:p>
            <w:r/>
            <w:r>
              <w:rPr>
                <w:b w:val="0"/>
                <w:sz w:val="17"/>
              </w:rPr>
              <w:t>Post-course action register.</w:t>
            </w:r>
          </w:p>
        </w:tc>
      </w:tr>
      <w:tr>
        <w:tc>
          <w:tcPr>
            <w:tcW w:type="dxa" w:w="2592"/>
            <w:vAlign w:val="top"/>
            <w:shd w:fill="F8FAFC"/>
          </w:tcPr>
          <w:p>
            <w:r/>
            <w:r>
              <w:rPr>
                <w:b/>
                <w:sz w:val="17"/>
              </w:rPr>
              <w:t>Within 30 days</w:t>
            </w:r>
          </w:p>
        </w:tc>
        <w:tc>
          <w:tcPr>
            <w:tcW w:type="dxa" w:w="5760"/>
            <w:vAlign w:val="top"/>
            <w:shd w:fill="FFFFFF"/>
          </w:tcPr>
          <w:p>
            <w:r/>
            <w:r>
              <w:rPr>
                <w:b w:val="0"/>
                <w:sz w:val="17"/>
              </w:rPr>
              <w:t>Review production posture with proper approval and convert recommendations into backlog items.</w:t>
            </w:r>
          </w:p>
        </w:tc>
        <w:tc>
          <w:tcPr>
            <w:tcW w:type="dxa" w:w="2592"/>
            <w:vAlign w:val="top"/>
            <w:shd w:fill="FFFFFF"/>
          </w:tcPr>
          <w:p>
            <w:r/>
            <w:r>
              <w:rPr>
                <w:b w:val="0"/>
                <w:sz w:val="17"/>
              </w:rPr>
              <w:t>Prioritized security roadmap.</w:t>
            </w:r>
          </w:p>
        </w:tc>
      </w:tr>
    </w:tbl>
    <w:p/>
    <w:p>
      <w:pPr>
        <w:pStyle w:val="Heading2"/>
      </w:pPr>
      <w:r>
        <w:t>Suggested self-paced completion path</w:t>
      </w:r>
    </w:p>
    <w:p>
      <w:pPr>
        <w:pStyle w:val="ListNumber"/>
      </w:pPr>
      <w:r>
        <w:t>Refresh fundamentals using SC-900-aligned security, compliance, identity, Entra, Microsoft security solutions, and Purview modules.</w:t>
      </w:r>
    </w:p>
    <w:p>
      <w:pPr>
        <w:pStyle w:val="ListNumber"/>
      </w:pPr>
      <w:r>
        <w:t>Complete Defender for Cloud posture and threat mitigation modules relevant to your role.</w:t>
      </w:r>
    </w:p>
    <w:p>
      <w:pPr>
        <w:pStyle w:val="ListNumber"/>
      </w:pPr>
      <w:r>
        <w:t>Complete AI security modules if your organization uses Azure AI, Microsoft Foundry, Copilot, or generative AI workloads.</w:t>
      </w:r>
    </w:p>
    <w:p>
      <w:pPr>
        <w:pStyle w:val="ListNumber"/>
      </w:pPr>
      <w:r>
        <w:t>Review SC-100 architecture content if you are responsible for strategy, Zero Trust design, governance, or security architecture.</w:t>
      </w:r>
    </w:p>
    <w:p>
      <w:r>
        <w:br w:type="page"/>
      </w:r>
    </w:p>
    <w:p>
      <w:pPr>
        <w:spacing w:before="60" w:after="0"/>
      </w:pPr>
      <w:r>
        <w:rPr>
          <w:b/>
          <w:color w:val="0F62FE"/>
          <w:sz w:val="16"/>
        </w:rPr>
        <w:t>SECTION 11</w:t>
      </w:r>
    </w:p>
    <w:p>
      <w:pPr>
        <w:spacing w:before="0" w:after="120"/>
      </w:pPr>
      <w:r>
        <w:rPr>
          <w:b/>
          <w:color w:val="1F2937"/>
          <w:sz w:val="36"/>
        </w:rPr>
        <w:t>Student Action Register Template</w:t>
      </w:r>
    </w:p>
    <w:p>
      <w:pPr>
        <w:spacing w:before="0" w:after="160"/>
      </w:pPr>
      <w:r>
        <w:rPr>
          <w:color w:val="4B5563"/>
          <w:sz w:val="20"/>
        </w:rPr>
        <w:t>Use this lightweight register to convert course findings into practical remediation work.</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704"/>
        <w:gridCol w:w="1704"/>
        <w:gridCol w:w="1704"/>
        <w:gridCol w:w="1704"/>
        <w:gridCol w:w="1704"/>
        <w:gridCol w:w="1704"/>
      </w:tblGrid>
      <w:tr>
        <w:tc>
          <w:tcPr>
            <w:tcW w:type="dxa" w:w="2592"/>
            <w:vAlign w:val="top"/>
            <w:shd w:fill="0F62FE"/>
          </w:tcPr>
          <w:p>
            <w:r/>
            <w:r>
              <w:rPr>
                <w:b/>
                <w:color w:val="FFFFFF"/>
                <w:sz w:val="17"/>
              </w:rPr>
              <w:t>Finding / opportunity</w:t>
            </w:r>
          </w:p>
        </w:tc>
        <w:tc>
          <w:tcPr>
            <w:tcW w:type="dxa" w:w="2448"/>
            <w:vAlign w:val="top"/>
            <w:shd w:fill="0F62FE"/>
          </w:tcPr>
          <w:p>
            <w:r/>
            <w:r>
              <w:rPr>
                <w:b/>
                <w:color w:val="FFFFFF"/>
                <w:sz w:val="17"/>
              </w:rPr>
              <w:t>Risk or business impact</w:t>
            </w:r>
          </w:p>
        </w:tc>
        <w:tc>
          <w:tcPr>
            <w:tcW w:type="dxa" w:w="3168"/>
            <w:vAlign w:val="top"/>
            <w:shd w:fill="0F62FE"/>
          </w:tcPr>
          <w:p>
            <w:r/>
            <w:r>
              <w:rPr>
                <w:b/>
                <w:color w:val="FFFFFF"/>
                <w:sz w:val="17"/>
              </w:rPr>
              <w:t>Recommended action</w:t>
            </w:r>
          </w:p>
        </w:tc>
        <w:tc>
          <w:tcPr>
            <w:tcW w:type="dxa" w:w="1296"/>
            <w:vAlign w:val="top"/>
            <w:shd w:fill="0F62FE"/>
          </w:tcPr>
          <w:p>
            <w:r/>
            <w:r>
              <w:rPr>
                <w:b/>
                <w:color w:val="FFFFFF"/>
                <w:sz w:val="17"/>
              </w:rPr>
              <w:t>Owner</w:t>
            </w:r>
          </w:p>
        </w:tc>
        <w:tc>
          <w:tcPr>
            <w:tcW w:type="dxa" w:w="1152"/>
            <w:vAlign w:val="top"/>
            <w:shd w:fill="0F62FE"/>
          </w:tcPr>
          <w:p>
            <w:r/>
            <w:r>
              <w:rPr>
                <w:b/>
                <w:color w:val="FFFFFF"/>
                <w:sz w:val="17"/>
              </w:rPr>
              <w:t>Priority</w:t>
            </w:r>
          </w:p>
        </w:tc>
        <w:tc>
          <w:tcPr>
            <w:tcW w:type="dxa" w:w="1440"/>
            <w:vAlign w:val="top"/>
            <w:shd w:fill="0F62FE"/>
          </w:tcPr>
          <w:p>
            <w:r/>
            <w:r>
              <w:rPr>
                <w:b/>
                <w:color w:val="FFFFFF"/>
                <w:sz w:val="17"/>
              </w:rPr>
              <w:t>Target date</w:t>
            </w:r>
          </w:p>
        </w:tc>
      </w:tr>
      <w:tr>
        <w:tc>
          <w:tcPr>
            <w:tcW w:type="dxa" w:w="2592"/>
            <w:vAlign w:val="top"/>
            <w:shd w:fill="F8FAFC"/>
          </w:tcPr>
          <w:p>
            <w:r/>
            <w:r>
              <w:rPr>
                <w:b/>
                <w:sz w:val="17"/>
              </w:rPr>
            </w:r>
          </w:p>
        </w:tc>
        <w:tc>
          <w:tcPr>
            <w:tcW w:type="dxa" w:w="2448"/>
            <w:vAlign w:val="top"/>
            <w:shd w:fill="FFFFFF"/>
          </w:tcPr>
          <w:p>
            <w:r/>
            <w:r>
              <w:rPr>
                <w:b w:val="0"/>
                <w:sz w:val="17"/>
              </w:rPr>
            </w:r>
          </w:p>
        </w:tc>
        <w:tc>
          <w:tcPr>
            <w:tcW w:type="dxa" w:w="3168"/>
            <w:vAlign w:val="top"/>
            <w:shd w:fill="FFFFFF"/>
          </w:tcPr>
          <w:p>
            <w:r/>
            <w:r>
              <w:rPr>
                <w:b w:val="0"/>
                <w:sz w:val="17"/>
              </w:rPr>
            </w:r>
          </w:p>
        </w:tc>
        <w:tc>
          <w:tcPr>
            <w:tcW w:type="dxa" w:w="1296"/>
            <w:vAlign w:val="top"/>
            <w:shd w:fill="FFFFFF"/>
          </w:tcPr>
          <w:p>
            <w:r/>
            <w:r>
              <w:rPr>
                <w:b w:val="0"/>
                <w:sz w:val="17"/>
              </w:rPr>
            </w:r>
          </w:p>
        </w:tc>
        <w:tc>
          <w:tcPr>
            <w:tcW w:type="dxa" w:w="1152"/>
            <w:vAlign w:val="top"/>
            <w:shd w:fill="FFFFFF"/>
          </w:tcPr>
          <w:p>
            <w:r/>
            <w:r>
              <w:rPr>
                <w:b w:val="0"/>
                <w:sz w:val="17"/>
              </w:rPr>
            </w:r>
          </w:p>
        </w:tc>
        <w:tc>
          <w:tcPr>
            <w:tcW w:type="dxa" w:w="1440"/>
            <w:vAlign w:val="top"/>
            <w:shd w:fill="FFFFFF"/>
          </w:tcPr>
          <w:p>
            <w:r/>
            <w:r>
              <w:rPr>
                <w:b w:val="0"/>
                <w:sz w:val="17"/>
              </w:rPr>
            </w:r>
          </w:p>
        </w:tc>
      </w:tr>
      <w:tr>
        <w:tc>
          <w:tcPr>
            <w:tcW w:type="dxa" w:w="2592"/>
            <w:vAlign w:val="top"/>
            <w:shd w:fill="F8FAFC"/>
          </w:tcPr>
          <w:p>
            <w:r/>
            <w:r>
              <w:rPr>
                <w:b/>
                <w:sz w:val="17"/>
              </w:rPr>
            </w:r>
          </w:p>
        </w:tc>
        <w:tc>
          <w:tcPr>
            <w:tcW w:type="dxa" w:w="2448"/>
            <w:vAlign w:val="top"/>
            <w:shd w:fill="FFFFFF"/>
          </w:tcPr>
          <w:p>
            <w:r/>
            <w:r>
              <w:rPr>
                <w:b w:val="0"/>
                <w:sz w:val="17"/>
              </w:rPr>
            </w:r>
          </w:p>
        </w:tc>
        <w:tc>
          <w:tcPr>
            <w:tcW w:type="dxa" w:w="3168"/>
            <w:vAlign w:val="top"/>
            <w:shd w:fill="FFFFFF"/>
          </w:tcPr>
          <w:p>
            <w:r/>
            <w:r>
              <w:rPr>
                <w:b w:val="0"/>
                <w:sz w:val="17"/>
              </w:rPr>
            </w:r>
          </w:p>
        </w:tc>
        <w:tc>
          <w:tcPr>
            <w:tcW w:type="dxa" w:w="1296"/>
            <w:vAlign w:val="top"/>
            <w:shd w:fill="FFFFFF"/>
          </w:tcPr>
          <w:p>
            <w:r/>
            <w:r>
              <w:rPr>
                <w:b w:val="0"/>
                <w:sz w:val="17"/>
              </w:rPr>
            </w:r>
          </w:p>
        </w:tc>
        <w:tc>
          <w:tcPr>
            <w:tcW w:type="dxa" w:w="1152"/>
            <w:vAlign w:val="top"/>
            <w:shd w:fill="FFFFFF"/>
          </w:tcPr>
          <w:p>
            <w:r/>
            <w:r>
              <w:rPr>
                <w:b w:val="0"/>
                <w:sz w:val="17"/>
              </w:rPr>
            </w:r>
          </w:p>
        </w:tc>
        <w:tc>
          <w:tcPr>
            <w:tcW w:type="dxa" w:w="1440"/>
            <w:vAlign w:val="top"/>
            <w:shd w:fill="FFFFFF"/>
          </w:tcPr>
          <w:p>
            <w:r/>
            <w:r>
              <w:rPr>
                <w:b w:val="0"/>
                <w:sz w:val="17"/>
              </w:rPr>
            </w:r>
          </w:p>
        </w:tc>
      </w:tr>
      <w:tr>
        <w:tc>
          <w:tcPr>
            <w:tcW w:type="dxa" w:w="2592"/>
            <w:vAlign w:val="top"/>
            <w:shd w:fill="F8FAFC"/>
          </w:tcPr>
          <w:p>
            <w:r/>
            <w:r>
              <w:rPr>
                <w:b/>
                <w:sz w:val="17"/>
              </w:rPr>
            </w:r>
          </w:p>
        </w:tc>
        <w:tc>
          <w:tcPr>
            <w:tcW w:type="dxa" w:w="2448"/>
            <w:vAlign w:val="top"/>
            <w:shd w:fill="FFFFFF"/>
          </w:tcPr>
          <w:p>
            <w:r/>
            <w:r>
              <w:rPr>
                <w:b w:val="0"/>
                <w:sz w:val="17"/>
              </w:rPr>
            </w:r>
          </w:p>
        </w:tc>
        <w:tc>
          <w:tcPr>
            <w:tcW w:type="dxa" w:w="3168"/>
            <w:vAlign w:val="top"/>
            <w:shd w:fill="FFFFFF"/>
          </w:tcPr>
          <w:p>
            <w:r/>
            <w:r>
              <w:rPr>
                <w:b w:val="0"/>
                <w:sz w:val="17"/>
              </w:rPr>
            </w:r>
          </w:p>
        </w:tc>
        <w:tc>
          <w:tcPr>
            <w:tcW w:type="dxa" w:w="1296"/>
            <w:vAlign w:val="top"/>
            <w:shd w:fill="FFFFFF"/>
          </w:tcPr>
          <w:p>
            <w:r/>
            <w:r>
              <w:rPr>
                <w:b w:val="0"/>
                <w:sz w:val="17"/>
              </w:rPr>
            </w:r>
          </w:p>
        </w:tc>
        <w:tc>
          <w:tcPr>
            <w:tcW w:type="dxa" w:w="1152"/>
            <w:vAlign w:val="top"/>
            <w:shd w:fill="FFFFFF"/>
          </w:tcPr>
          <w:p>
            <w:r/>
            <w:r>
              <w:rPr>
                <w:b w:val="0"/>
                <w:sz w:val="17"/>
              </w:rPr>
            </w:r>
          </w:p>
        </w:tc>
        <w:tc>
          <w:tcPr>
            <w:tcW w:type="dxa" w:w="1440"/>
            <w:vAlign w:val="top"/>
            <w:shd w:fill="FFFFFF"/>
          </w:tcPr>
          <w:p>
            <w:r/>
            <w:r>
              <w:rPr>
                <w:b w:val="0"/>
                <w:sz w:val="17"/>
              </w:rPr>
            </w:r>
          </w:p>
        </w:tc>
      </w:tr>
      <w:tr>
        <w:tc>
          <w:tcPr>
            <w:tcW w:type="dxa" w:w="2592"/>
            <w:vAlign w:val="top"/>
            <w:shd w:fill="F8FAFC"/>
          </w:tcPr>
          <w:p>
            <w:r/>
            <w:r>
              <w:rPr>
                <w:b/>
                <w:sz w:val="17"/>
              </w:rPr>
            </w:r>
          </w:p>
        </w:tc>
        <w:tc>
          <w:tcPr>
            <w:tcW w:type="dxa" w:w="2448"/>
            <w:vAlign w:val="top"/>
            <w:shd w:fill="FFFFFF"/>
          </w:tcPr>
          <w:p>
            <w:r/>
            <w:r>
              <w:rPr>
                <w:b w:val="0"/>
                <w:sz w:val="17"/>
              </w:rPr>
            </w:r>
          </w:p>
        </w:tc>
        <w:tc>
          <w:tcPr>
            <w:tcW w:type="dxa" w:w="3168"/>
            <w:vAlign w:val="top"/>
            <w:shd w:fill="FFFFFF"/>
          </w:tcPr>
          <w:p>
            <w:r/>
            <w:r>
              <w:rPr>
                <w:b w:val="0"/>
                <w:sz w:val="17"/>
              </w:rPr>
            </w:r>
          </w:p>
        </w:tc>
        <w:tc>
          <w:tcPr>
            <w:tcW w:type="dxa" w:w="1296"/>
            <w:vAlign w:val="top"/>
            <w:shd w:fill="FFFFFF"/>
          </w:tcPr>
          <w:p>
            <w:r/>
            <w:r>
              <w:rPr>
                <w:b w:val="0"/>
                <w:sz w:val="17"/>
              </w:rPr>
            </w:r>
          </w:p>
        </w:tc>
        <w:tc>
          <w:tcPr>
            <w:tcW w:type="dxa" w:w="1152"/>
            <w:vAlign w:val="top"/>
            <w:shd w:fill="FFFFFF"/>
          </w:tcPr>
          <w:p>
            <w:r/>
            <w:r>
              <w:rPr>
                <w:b w:val="0"/>
                <w:sz w:val="17"/>
              </w:rPr>
            </w:r>
          </w:p>
        </w:tc>
        <w:tc>
          <w:tcPr>
            <w:tcW w:type="dxa" w:w="1440"/>
            <w:vAlign w:val="top"/>
            <w:shd w:fill="FFFFFF"/>
          </w:tcPr>
          <w:p>
            <w:r/>
            <w:r>
              <w:rPr>
                <w:b w:val="0"/>
                <w:sz w:val="17"/>
              </w:rPr>
            </w:r>
          </w:p>
        </w:tc>
      </w:tr>
      <w:tr>
        <w:tc>
          <w:tcPr>
            <w:tcW w:type="dxa" w:w="2592"/>
            <w:vAlign w:val="top"/>
            <w:shd w:fill="F8FAFC"/>
          </w:tcPr>
          <w:p>
            <w:r/>
            <w:r>
              <w:rPr>
                <w:b/>
                <w:sz w:val="17"/>
              </w:rPr>
            </w:r>
          </w:p>
        </w:tc>
        <w:tc>
          <w:tcPr>
            <w:tcW w:type="dxa" w:w="2448"/>
            <w:vAlign w:val="top"/>
            <w:shd w:fill="FFFFFF"/>
          </w:tcPr>
          <w:p>
            <w:r/>
            <w:r>
              <w:rPr>
                <w:b w:val="0"/>
                <w:sz w:val="17"/>
              </w:rPr>
            </w:r>
          </w:p>
        </w:tc>
        <w:tc>
          <w:tcPr>
            <w:tcW w:type="dxa" w:w="3168"/>
            <w:vAlign w:val="top"/>
            <w:shd w:fill="FFFFFF"/>
          </w:tcPr>
          <w:p>
            <w:r/>
            <w:r>
              <w:rPr>
                <w:b w:val="0"/>
                <w:sz w:val="17"/>
              </w:rPr>
            </w:r>
          </w:p>
        </w:tc>
        <w:tc>
          <w:tcPr>
            <w:tcW w:type="dxa" w:w="1296"/>
            <w:vAlign w:val="top"/>
            <w:shd w:fill="FFFFFF"/>
          </w:tcPr>
          <w:p>
            <w:r/>
            <w:r>
              <w:rPr>
                <w:b w:val="0"/>
                <w:sz w:val="17"/>
              </w:rPr>
            </w:r>
          </w:p>
        </w:tc>
        <w:tc>
          <w:tcPr>
            <w:tcW w:type="dxa" w:w="1152"/>
            <w:vAlign w:val="top"/>
            <w:shd w:fill="FFFFFF"/>
          </w:tcPr>
          <w:p>
            <w:r/>
            <w:r>
              <w:rPr>
                <w:b w:val="0"/>
                <w:sz w:val="17"/>
              </w:rPr>
            </w:r>
          </w:p>
        </w:tc>
        <w:tc>
          <w:tcPr>
            <w:tcW w:type="dxa" w:w="1440"/>
            <w:vAlign w:val="top"/>
            <w:shd w:fill="FFFFFF"/>
          </w:tcPr>
          <w:p>
            <w:r/>
            <w:r>
              <w:rPr>
                <w:b w:val="0"/>
                <w:sz w:val="17"/>
              </w:rPr>
            </w:r>
          </w:p>
        </w:tc>
      </w:tr>
    </w:tbl>
    <w:p/>
    <w:tbl>
      <w:tblPr>
        <w:tblW w:type="auto" w:w="0"/>
        <w:jc w:val="center"/>
        <w:tblLayout w:type="autofit"/>
        <w:tblLook w:firstColumn="1" w:firstRow="1" w:lastColumn="0" w:lastRow="0" w:noHBand="0" w:noVBand="1" w:val="04A0"/>
        <w:tblBorders>
          <w:top w:val="single" w:sz="8" w:space="0" w:color="10B981"/>
          <w:left w:val="single" w:sz="8" w:space="0" w:color="10B981"/>
          <w:bottom w:val="single" w:sz="8" w:space="0" w:color="10B981"/>
          <w:right w:val="single" w:sz="8" w:space="0" w:color="10B981"/>
          <w:insideH w:val="single" w:sz="8" w:space="0" w:color="10B981"/>
          <w:insideV w:val="single" w:sz="8" w:space="0" w:color="10B981"/>
        </w:tblBorders>
      </w:tblPr>
      <w:tblGrid>
        <w:gridCol w:w="10224"/>
      </w:tblGrid>
      <w:tr>
        <w:tc>
          <w:tcPr>
            <w:tcW w:type="dxa" w:w="10224"/>
            <w:shd w:fill="E7F8EF"/>
          </w:tcPr>
          <w:p>
            <w:pPr>
              <w:spacing w:after="60"/>
            </w:pPr>
            <w:r>
              <w:rPr>
                <w:b/>
                <w:color w:val="1F2937"/>
                <w:sz w:val="20"/>
              </w:rPr>
              <w:t>How to prioritize</w:t>
            </w:r>
          </w:p>
          <w:p>
            <w:pPr>
              <w:spacing w:after="0"/>
            </w:pPr>
            <w:r>
              <w:rPr>
                <w:sz w:val="18"/>
              </w:rPr>
              <w:t>Start with internet-facing exposure, identity over-permissioning, missing protection plans for critical workloads, vulnerable assets, regulatory gaps, and AI workloads that process sensitive or business-critical data.</w:t>
            </w:r>
          </w:p>
        </w:tc>
      </w:tr>
    </w:tbl>
    <w:p/>
    <w:p>
      <w:pPr>
        <w:spacing w:before="60" w:after="0"/>
      </w:pPr>
      <w:r>
        <w:rPr>
          <w:b/>
          <w:color w:val="0F62FE"/>
          <w:sz w:val="16"/>
        </w:rPr>
        <w:t>SECTION 12</w:t>
      </w:r>
    </w:p>
    <w:p>
      <w:pPr>
        <w:spacing w:before="0" w:after="120"/>
      </w:pPr>
      <w:r>
        <w:rPr>
          <w:b/>
          <w:color w:val="1F2937"/>
          <w:sz w:val="36"/>
        </w:rPr>
        <w:t>Glossary of Key Terms</w:t>
      </w:r>
    </w:p>
    <w:p>
      <w:pPr>
        <w:spacing w:before="0" w:after="160"/>
      </w:pPr>
      <w:r>
        <w:rPr>
          <w:color w:val="4B5563"/>
          <w:sz w:val="20"/>
        </w:rPr>
        <w:t>These terms appear frequently in the course, labs, and Microsoft Learn resources.</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3024"/>
            <w:vAlign w:val="top"/>
            <w:shd w:fill="0F62FE"/>
          </w:tcPr>
          <w:p>
            <w:r/>
            <w:r>
              <w:rPr>
                <w:b/>
                <w:color w:val="FFFFFF"/>
                <w:sz w:val="17"/>
              </w:rPr>
              <w:t>Term</w:t>
            </w:r>
          </w:p>
        </w:tc>
        <w:tc>
          <w:tcPr>
            <w:tcW w:type="dxa" w:w="7632"/>
            <w:vAlign w:val="top"/>
            <w:shd w:fill="0F62FE"/>
          </w:tcPr>
          <w:p>
            <w:r/>
            <w:r>
              <w:rPr>
                <w:b/>
                <w:color w:val="FFFFFF"/>
                <w:sz w:val="17"/>
              </w:rPr>
              <w:t>Meaning in this course</w:t>
            </w:r>
          </w:p>
        </w:tc>
      </w:tr>
      <w:tr>
        <w:tc>
          <w:tcPr>
            <w:tcW w:type="dxa" w:w="3024"/>
            <w:vAlign w:val="top"/>
            <w:shd w:fill="F8FAFC"/>
          </w:tcPr>
          <w:p>
            <w:r/>
            <w:r>
              <w:rPr>
                <w:b/>
                <w:sz w:val="17"/>
              </w:rPr>
              <w:t>CSPM</w:t>
            </w:r>
          </w:p>
        </w:tc>
        <w:tc>
          <w:tcPr>
            <w:tcW w:type="dxa" w:w="7632"/>
            <w:vAlign w:val="top"/>
            <w:shd w:fill="FFFFFF"/>
          </w:tcPr>
          <w:p>
            <w:r/>
            <w:r>
              <w:rPr>
                <w:b w:val="0"/>
                <w:sz w:val="17"/>
              </w:rPr>
              <w:t>Cloud Security Posture Management. Visibility, recommendations, risk prioritization, secure score, compliance, and attack path analysis.</w:t>
            </w:r>
          </w:p>
        </w:tc>
      </w:tr>
      <w:tr>
        <w:tc>
          <w:tcPr>
            <w:tcW w:type="dxa" w:w="3024"/>
            <w:vAlign w:val="top"/>
            <w:shd w:fill="F8FAFC"/>
          </w:tcPr>
          <w:p>
            <w:r/>
            <w:r>
              <w:rPr>
                <w:b/>
                <w:sz w:val="17"/>
              </w:rPr>
              <w:t>CWPP</w:t>
            </w:r>
          </w:p>
        </w:tc>
        <w:tc>
          <w:tcPr>
            <w:tcW w:type="dxa" w:w="7632"/>
            <w:vAlign w:val="top"/>
            <w:shd w:fill="FFFFFF"/>
          </w:tcPr>
          <w:p>
            <w:r/>
            <w:r>
              <w:rPr>
                <w:b w:val="0"/>
                <w:sz w:val="17"/>
              </w:rPr>
              <w:t>Cloud Workload Protection Platform. Runtime and workload-specific protection for servers, storage, databases, containers, AI services, and other assets.</w:t>
            </w:r>
          </w:p>
        </w:tc>
      </w:tr>
      <w:tr>
        <w:tc>
          <w:tcPr>
            <w:tcW w:type="dxa" w:w="3024"/>
            <w:vAlign w:val="top"/>
            <w:shd w:fill="F8FAFC"/>
          </w:tcPr>
          <w:p>
            <w:r/>
            <w:r>
              <w:rPr>
                <w:b/>
                <w:sz w:val="17"/>
              </w:rPr>
              <w:t>Secure Score</w:t>
            </w:r>
          </w:p>
        </w:tc>
        <w:tc>
          <w:tcPr>
            <w:tcW w:type="dxa" w:w="7632"/>
            <w:vAlign w:val="top"/>
            <w:shd w:fill="FFFFFF"/>
          </w:tcPr>
          <w:p>
            <w:r/>
            <w:r>
              <w:rPr>
                <w:b w:val="0"/>
                <w:sz w:val="17"/>
              </w:rPr>
              <w:t>A posture indicator that helps prioritize security recommendations and improvement actions.</w:t>
            </w:r>
          </w:p>
        </w:tc>
      </w:tr>
      <w:tr>
        <w:tc>
          <w:tcPr>
            <w:tcW w:type="dxa" w:w="3024"/>
            <w:vAlign w:val="top"/>
            <w:shd w:fill="F8FAFC"/>
          </w:tcPr>
          <w:p>
            <w:r/>
            <w:r>
              <w:rPr>
                <w:b/>
                <w:sz w:val="17"/>
              </w:rPr>
              <w:t>Attack path</w:t>
            </w:r>
          </w:p>
        </w:tc>
        <w:tc>
          <w:tcPr>
            <w:tcW w:type="dxa" w:w="7632"/>
            <w:vAlign w:val="top"/>
            <w:shd w:fill="FFFFFF"/>
          </w:tcPr>
          <w:p>
            <w:r/>
            <w:r>
              <w:rPr>
                <w:b w:val="0"/>
                <w:sz w:val="17"/>
              </w:rPr>
              <w:t>A linked sequence of exposures or weaknesses that could allow an attacker to reach a high-value asset.</w:t>
            </w:r>
          </w:p>
        </w:tc>
      </w:tr>
      <w:tr>
        <w:tc>
          <w:tcPr>
            <w:tcW w:type="dxa" w:w="3024"/>
            <w:vAlign w:val="top"/>
            <w:shd w:fill="F8FAFC"/>
          </w:tcPr>
          <w:p>
            <w:r/>
            <w:r>
              <w:rPr>
                <w:b/>
                <w:sz w:val="17"/>
              </w:rPr>
              <w:t>Security Exposure Management</w:t>
            </w:r>
          </w:p>
        </w:tc>
        <w:tc>
          <w:tcPr>
            <w:tcW w:type="dxa" w:w="7632"/>
            <w:vAlign w:val="top"/>
            <w:shd w:fill="FFFFFF"/>
          </w:tcPr>
          <w:p>
            <w:r/>
            <w:r>
              <w:rPr>
                <w:b w:val="0"/>
                <w:sz w:val="17"/>
              </w:rPr>
              <w:t>A risk-focused approach to understanding exploitable paths, exposure, and mitigation priorities.</w:t>
            </w:r>
          </w:p>
        </w:tc>
      </w:tr>
      <w:tr>
        <w:tc>
          <w:tcPr>
            <w:tcW w:type="dxa" w:w="3024"/>
            <w:vAlign w:val="top"/>
            <w:shd w:fill="F8FAFC"/>
          </w:tcPr>
          <w:p>
            <w:r/>
            <w:r>
              <w:rPr>
                <w:b/>
                <w:sz w:val="17"/>
              </w:rPr>
              <w:t>Microsoft Defender portal</w:t>
            </w:r>
          </w:p>
        </w:tc>
        <w:tc>
          <w:tcPr>
            <w:tcW w:type="dxa" w:w="7632"/>
            <w:vAlign w:val="top"/>
            <w:shd w:fill="FFFFFF"/>
          </w:tcPr>
          <w:p>
            <w:r/>
            <w:r>
              <w:rPr>
                <w:b w:val="0"/>
                <w:sz w:val="17"/>
              </w:rPr>
              <w:t>Unified security operations portal for incidents, alerts, investigation, correlation, and response across Microsoft security products.</w:t>
            </w:r>
          </w:p>
        </w:tc>
      </w:tr>
      <w:tr>
        <w:tc>
          <w:tcPr>
            <w:tcW w:type="dxa" w:w="3024"/>
            <w:vAlign w:val="top"/>
            <w:shd w:fill="F8FAFC"/>
          </w:tcPr>
          <w:p>
            <w:r/>
            <w:r>
              <w:rPr>
                <w:b/>
                <w:sz w:val="17"/>
              </w:rPr>
              <w:t>Microsoft Defender for Cloud</w:t>
            </w:r>
          </w:p>
        </w:tc>
        <w:tc>
          <w:tcPr>
            <w:tcW w:type="dxa" w:w="7632"/>
            <w:vAlign w:val="top"/>
            <w:shd w:fill="FFFFFF"/>
          </w:tcPr>
          <w:p>
            <w:r/>
            <w:r>
              <w:rPr>
                <w:b w:val="0"/>
                <w:sz w:val="17"/>
              </w:rPr>
              <w:t>Microsoft platform for cloud security posture management and workload protection across Azure, hybrid, and multicloud environments.</w:t>
            </w:r>
          </w:p>
        </w:tc>
      </w:tr>
      <w:tr>
        <w:tc>
          <w:tcPr>
            <w:tcW w:type="dxa" w:w="3024"/>
            <w:vAlign w:val="top"/>
            <w:shd w:fill="F8FAFC"/>
          </w:tcPr>
          <w:p>
            <w:r/>
            <w:r>
              <w:rPr>
                <w:b/>
                <w:sz w:val="17"/>
              </w:rPr>
              <w:t>Microsoft Entra ID</w:t>
            </w:r>
          </w:p>
        </w:tc>
        <w:tc>
          <w:tcPr>
            <w:tcW w:type="dxa" w:w="7632"/>
            <w:vAlign w:val="top"/>
            <w:shd w:fill="FFFFFF"/>
          </w:tcPr>
          <w:p>
            <w:r/>
            <w:r>
              <w:rPr>
                <w:b w:val="0"/>
                <w:sz w:val="17"/>
              </w:rPr>
              <w:t>Cloud identity and access management platform used for users, workloads, authentication, authorization, roles, and Conditional Access.</w:t>
            </w:r>
          </w:p>
        </w:tc>
      </w:tr>
      <w:tr>
        <w:tc>
          <w:tcPr>
            <w:tcW w:type="dxa" w:w="3024"/>
            <w:vAlign w:val="top"/>
            <w:shd w:fill="F8FAFC"/>
          </w:tcPr>
          <w:p>
            <w:r/>
            <w:r>
              <w:rPr>
                <w:b/>
                <w:sz w:val="17"/>
              </w:rPr>
              <w:t>Microsoft Foundry</w:t>
            </w:r>
          </w:p>
        </w:tc>
        <w:tc>
          <w:tcPr>
            <w:tcW w:type="dxa" w:w="7632"/>
            <w:vAlign w:val="top"/>
            <w:shd w:fill="FFFFFF"/>
          </w:tcPr>
          <w:p>
            <w:r/>
            <w:r>
              <w:rPr>
                <w:b w:val="0"/>
                <w:sz w:val="17"/>
              </w:rPr>
              <w:t>Microsoft platform context for building and operating AI solutions; course content references AI workload protection and identity controls.</w:t>
            </w:r>
          </w:p>
        </w:tc>
      </w:tr>
      <w:tr>
        <w:tc>
          <w:tcPr>
            <w:tcW w:type="dxa" w:w="3024"/>
            <w:vAlign w:val="top"/>
            <w:shd w:fill="F8FAFC"/>
          </w:tcPr>
          <w:p>
            <w:r/>
            <w:r>
              <w:rPr>
                <w:b/>
                <w:sz w:val="17"/>
              </w:rPr>
              <w:t>RBAC</w:t>
            </w:r>
          </w:p>
        </w:tc>
        <w:tc>
          <w:tcPr>
            <w:tcW w:type="dxa" w:w="7632"/>
            <w:vAlign w:val="top"/>
            <w:shd w:fill="FFFFFF"/>
          </w:tcPr>
          <w:p>
            <w:r/>
            <w:r>
              <w:rPr>
                <w:b w:val="0"/>
                <w:sz w:val="17"/>
              </w:rPr>
              <w:t>Role-Based Access Control. Determines which users or identities can perform actions at subscription, resource group, or resource scope.</w:t>
            </w:r>
          </w:p>
        </w:tc>
      </w:tr>
      <w:tr>
        <w:tc>
          <w:tcPr>
            <w:tcW w:type="dxa" w:w="3024"/>
            <w:vAlign w:val="top"/>
            <w:shd w:fill="F8FAFC"/>
          </w:tcPr>
          <w:p>
            <w:r/>
            <w:r>
              <w:rPr>
                <w:b/>
                <w:sz w:val="17"/>
              </w:rPr>
              <w:t>MFA</w:t>
            </w:r>
          </w:p>
        </w:tc>
        <w:tc>
          <w:tcPr>
            <w:tcW w:type="dxa" w:w="7632"/>
            <w:vAlign w:val="top"/>
            <w:shd w:fill="FFFFFF"/>
          </w:tcPr>
          <w:p>
            <w:r/>
            <w:r>
              <w:rPr>
                <w:b w:val="0"/>
                <w:sz w:val="17"/>
              </w:rPr>
              <w:t>Multifactor Authentication. A control that requires more than a password to sign in.</w:t>
            </w:r>
          </w:p>
        </w:tc>
      </w:tr>
      <w:tr>
        <w:tc>
          <w:tcPr>
            <w:tcW w:type="dxa" w:w="3024"/>
            <w:vAlign w:val="top"/>
            <w:shd w:fill="F8FAFC"/>
          </w:tcPr>
          <w:p>
            <w:r/>
            <w:r>
              <w:rPr>
                <w:b/>
                <w:sz w:val="17"/>
              </w:rPr>
              <w:t>DLP</w:t>
            </w:r>
          </w:p>
        </w:tc>
        <w:tc>
          <w:tcPr>
            <w:tcW w:type="dxa" w:w="7632"/>
            <w:vAlign w:val="top"/>
            <w:shd w:fill="FFFFFF"/>
          </w:tcPr>
          <w:p>
            <w:r/>
            <w:r>
              <w:rPr>
                <w:b w:val="0"/>
                <w:sz w:val="17"/>
              </w:rPr>
              <w:t>Data Loss Prevention. Policies and controls used to reduce data leakage risk.</w:t>
            </w:r>
          </w:p>
        </w:tc>
      </w:tr>
      <w:tr>
        <w:tc>
          <w:tcPr>
            <w:tcW w:type="dxa" w:w="3024"/>
            <w:vAlign w:val="top"/>
            <w:shd w:fill="F8FAFC"/>
          </w:tcPr>
          <w:p>
            <w:r/>
            <w:r>
              <w:rPr>
                <w:b/>
                <w:sz w:val="17"/>
              </w:rPr>
              <w:t>EASM</w:t>
            </w:r>
          </w:p>
        </w:tc>
        <w:tc>
          <w:tcPr>
            <w:tcW w:type="dxa" w:w="7632"/>
            <w:vAlign w:val="top"/>
            <w:shd w:fill="FFFFFF"/>
          </w:tcPr>
          <w:p>
            <w:r/>
            <w:r>
              <w:rPr>
                <w:b w:val="0"/>
                <w:sz w:val="17"/>
              </w:rPr>
              <w:t>External Attack Surface Management. Discovery and assessment of unknown or internet-facing assets.</w:t>
            </w:r>
          </w:p>
        </w:tc>
      </w:tr>
      <w:tr>
        <w:tc>
          <w:tcPr>
            <w:tcW w:type="dxa" w:w="3024"/>
            <w:vAlign w:val="top"/>
            <w:shd w:fill="F8FAFC"/>
          </w:tcPr>
          <w:p>
            <w:r/>
            <w:r>
              <w:rPr>
                <w:b/>
                <w:sz w:val="17"/>
              </w:rPr>
              <w:t>MCRA</w:t>
            </w:r>
          </w:p>
        </w:tc>
        <w:tc>
          <w:tcPr>
            <w:tcW w:type="dxa" w:w="7632"/>
            <w:vAlign w:val="top"/>
            <w:shd w:fill="FFFFFF"/>
          </w:tcPr>
          <w:p>
            <w:r/>
            <w:r>
              <w:rPr>
                <w:b w:val="0"/>
                <w:sz w:val="17"/>
              </w:rPr>
              <w:t>Microsoft Cybersecurity Reference Architecture. Architecture guidance referenced in SC-100-aligned learning.</w:t>
            </w:r>
          </w:p>
        </w:tc>
      </w:tr>
      <w:tr>
        <w:tc>
          <w:tcPr>
            <w:tcW w:type="dxa" w:w="3024"/>
            <w:vAlign w:val="top"/>
            <w:shd w:fill="F8FAFC"/>
          </w:tcPr>
          <w:p>
            <w:r/>
            <w:r>
              <w:rPr>
                <w:b/>
                <w:sz w:val="17"/>
              </w:rPr>
              <w:t>CAF / WAF</w:t>
            </w:r>
          </w:p>
        </w:tc>
        <w:tc>
          <w:tcPr>
            <w:tcW w:type="dxa" w:w="7632"/>
            <w:vAlign w:val="top"/>
            <w:shd w:fill="FFFFFF"/>
          </w:tcPr>
          <w:p>
            <w:r/>
            <w:r>
              <w:rPr>
                <w:b w:val="0"/>
                <w:sz w:val="17"/>
              </w:rPr>
              <w:t>Cloud Adoption Framework and Well-Architected Framework. Microsoft frameworks used to guide governance, architecture, and operational excellence.</w:t>
            </w:r>
          </w:p>
        </w:tc>
      </w:tr>
    </w:tbl>
    <w:p/>
    <w:p>
      <w:r>
        <w:br w:type="page"/>
      </w:r>
    </w:p>
    <w:p>
      <w:pPr>
        <w:spacing w:before="60" w:after="0"/>
      </w:pPr>
      <w:r>
        <w:rPr>
          <w:b/>
          <w:color w:val="0F62FE"/>
          <w:sz w:val="16"/>
        </w:rPr>
        <w:t>APPENDIX A</w:t>
      </w:r>
    </w:p>
    <w:p>
      <w:pPr>
        <w:spacing w:before="0" w:after="120"/>
      </w:pPr>
      <w:r>
        <w:rPr>
          <w:b/>
          <w:color w:val="1F2937"/>
          <w:sz w:val="36"/>
        </w:rPr>
        <w:t>Student Pre-Course Checklist</w:t>
      </w:r>
    </w:p>
    <w:p>
      <w:pPr>
        <w:spacing w:before="0" w:after="160"/>
      </w:pPr>
      <w:r>
        <w:rPr>
          <w:color w:val="4B5563"/>
          <w:sz w:val="20"/>
        </w:rPr>
        <w:t>Complete this checklist before the course starts.</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1008"/>
            <w:vAlign w:val="top"/>
            <w:shd w:fill="0F62FE"/>
          </w:tcPr>
          <w:p>
            <w:r/>
            <w:r>
              <w:rPr>
                <w:b/>
                <w:color w:val="FFFFFF"/>
                <w:sz w:val="17"/>
              </w:rPr>
              <w:t>Done</w:t>
            </w:r>
          </w:p>
        </w:tc>
        <w:tc>
          <w:tcPr>
            <w:tcW w:type="dxa" w:w="9648"/>
            <w:vAlign w:val="top"/>
            <w:shd w:fill="0F62FE"/>
          </w:tcPr>
          <w:p>
            <w:r/>
            <w:r>
              <w:rPr>
                <w:b/>
                <w:color w:val="FFFFFF"/>
                <w:sz w:val="17"/>
              </w:rPr>
              <w:t>Checklist item</w:t>
            </w:r>
          </w:p>
        </w:tc>
      </w:tr>
      <w:tr>
        <w:tc>
          <w:tcPr>
            <w:tcW w:type="dxa" w:w="1008"/>
            <w:vAlign w:val="top"/>
            <w:shd w:fill="F8FAFC"/>
          </w:tcPr>
          <w:p>
            <w:r/>
            <w:r>
              <w:rPr>
                <w:b/>
                <w:sz w:val="17"/>
              </w:rPr>
              <w:t>☐</w:t>
            </w:r>
          </w:p>
        </w:tc>
        <w:tc>
          <w:tcPr>
            <w:tcW w:type="dxa" w:w="9648"/>
            <w:vAlign w:val="top"/>
            <w:shd w:fill="FFFFFF"/>
          </w:tcPr>
          <w:p>
            <w:r/>
            <w:r>
              <w:rPr>
                <w:b w:val="0"/>
                <w:sz w:val="17"/>
              </w:rPr>
              <w:t>I can sign in to my Microsoft Learn account.</w:t>
            </w:r>
          </w:p>
        </w:tc>
      </w:tr>
      <w:tr>
        <w:tc>
          <w:tcPr>
            <w:tcW w:type="dxa" w:w="1008"/>
            <w:vAlign w:val="top"/>
            <w:shd w:fill="F8FAFC"/>
          </w:tcPr>
          <w:p>
            <w:r/>
            <w:r>
              <w:rPr>
                <w:b/>
                <w:sz w:val="17"/>
              </w:rPr>
              <w:t>☐</w:t>
            </w:r>
          </w:p>
        </w:tc>
        <w:tc>
          <w:tcPr>
            <w:tcW w:type="dxa" w:w="9648"/>
            <w:vAlign w:val="top"/>
            <w:shd w:fill="FFFFFF"/>
          </w:tcPr>
          <w:p>
            <w:r/>
            <w:r>
              <w:rPr>
                <w:b w:val="0"/>
                <w:sz w:val="17"/>
              </w:rPr>
              <w:t>I can access the Azure portal from my class device and network.</w:t>
            </w:r>
          </w:p>
        </w:tc>
      </w:tr>
      <w:tr>
        <w:tc>
          <w:tcPr>
            <w:tcW w:type="dxa" w:w="1008"/>
            <w:vAlign w:val="top"/>
            <w:shd w:fill="F8FAFC"/>
          </w:tcPr>
          <w:p>
            <w:r/>
            <w:r>
              <w:rPr>
                <w:b/>
                <w:sz w:val="17"/>
              </w:rPr>
              <w:t>☐</w:t>
            </w:r>
          </w:p>
        </w:tc>
        <w:tc>
          <w:tcPr>
            <w:tcW w:type="dxa" w:w="9648"/>
            <w:vAlign w:val="top"/>
            <w:shd w:fill="FFFFFF"/>
          </w:tcPr>
          <w:p>
            <w:r/>
            <w:r>
              <w:rPr>
                <w:b w:val="0"/>
                <w:sz w:val="17"/>
              </w:rPr>
              <w:t>I can see the correct Microsoft Entra tenant/directory.</w:t>
            </w:r>
          </w:p>
        </w:tc>
      </w:tr>
      <w:tr>
        <w:tc>
          <w:tcPr>
            <w:tcW w:type="dxa" w:w="1008"/>
            <w:vAlign w:val="top"/>
            <w:shd w:fill="F8FAFC"/>
          </w:tcPr>
          <w:p>
            <w:r/>
            <w:r>
              <w:rPr>
                <w:b/>
                <w:sz w:val="17"/>
              </w:rPr>
              <w:t>☐</w:t>
            </w:r>
          </w:p>
        </w:tc>
        <w:tc>
          <w:tcPr>
            <w:tcW w:type="dxa" w:w="9648"/>
            <w:vAlign w:val="top"/>
            <w:shd w:fill="FFFFFF"/>
          </w:tcPr>
          <w:p>
            <w:r/>
            <w:r>
              <w:rPr>
                <w:b w:val="0"/>
                <w:sz w:val="17"/>
              </w:rPr>
              <w:t>MFA is configured and tested.</w:t>
            </w:r>
          </w:p>
        </w:tc>
      </w:tr>
      <w:tr>
        <w:tc>
          <w:tcPr>
            <w:tcW w:type="dxa" w:w="1008"/>
            <w:vAlign w:val="top"/>
            <w:shd w:fill="F8FAFC"/>
          </w:tcPr>
          <w:p>
            <w:r/>
            <w:r>
              <w:rPr>
                <w:b/>
                <w:sz w:val="17"/>
              </w:rPr>
              <w:t>☐</w:t>
            </w:r>
          </w:p>
        </w:tc>
        <w:tc>
          <w:tcPr>
            <w:tcW w:type="dxa" w:w="9648"/>
            <w:vAlign w:val="top"/>
            <w:shd w:fill="FFFFFF"/>
          </w:tcPr>
          <w:p>
            <w:r/>
            <w:r>
              <w:rPr>
                <w:b w:val="0"/>
                <w:sz w:val="17"/>
              </w:rPr>
              <w:t>I know which Azure subscription or resource group is assigned to me.</w:t>
            </w:r>
          </w:p>
        </w:tc>
      </w:tr>
      <w:tr>
        <w:tc>
          <w:tcPr>
            <w:tcW w:type="dxa" w:w="1008"/>
            <w:vAlign w:val="top"/>
            <w:shd w:fill="F8FAFC"/>
          </w:tcPr>
          <w:p>
            <w:r/>
            <w:r>
              <w:rPr>
                <w:b/>
                <w:sz w:val="17"/>
              </w:rPr>
              <w:t>☐</w:t>
            </w:r>
          </w:p>
        </w:tc>
        <w:tc>
          <w:tcPr>
            <w:tcW w:type="dxa" w:w="9648"/>
            <w:vAlign w:val="top"/>
            <w:shd w:fill="FFFFFF"/>
          </w:tcPr>
          <w:p>
            <w:r/>
            <w:r>
              <w:rPr>
                <w:b w:val="0"/>
                <w:sz w:val="17"/>
              </w:rPr>
              <w:t>I know my assigned permission level: Reader, Contributor, Security Admin, or other.</w:t>
            </w:r>
          </w:p>
        </w:tc>
      </w:tr>
      <w:tr>
        <w:tc>
          <w:tcPr>
            <w:tcW w:type="dxa" w:w="1008"/>
            <w:vAlign w:val="top"/>
            <w:shd w:fill="F8FAFC"/>
          </w:tcPr>
          <w:p>
            <w:r/>
            <w:r>
              <w:rPr>
                <w:b/>
                <w:sz w:val="17"/>
              </w:rPr>
              <w:t>☐</w:t>
            </w:r>
          </w:p>
        </w:tc>
        <w:tc>
          <w:tcPr>
            <w:tcW w:type="dxa" w:w="9648"/>
            <w:vAlign w:val="top"/>
            <w:shd w:fill="FFFFFF"/>
          </w:tcPr>
          <w:p>
            <w:r/>
            <w:r>
              <w:rPr>
                <w:b w:val="0"/>
                <w:sz w:val="17"/>
              </w:rPr>
              <w:t>I can access Microsoft Defender for Cloud where required.</w:t>
            </w:r>
          </w:p>
        </w:tc>
      </w:tr>
      <w:tr>
        <w:tc>
          <w:tcPr>
            <w:tcW w:type="dxa" w:w="1008"/>
            <w:vAlign w:val="top"/>
            <w:shd w:fill="F8FAFC"/>
          </w:tcPr>
          <w:p>
            <w:r/>
            <w:r>
              <w:rPr>
                <w:b/>
                <w:sz w:val="17"/>
              </w:rPr>
              <w:t>☐</w:t>
            </w:r>
          </w:p>
        </w:tc>
        <w:tc>
          <w:tcPr>
            <w:tcW w:type="dxa" w:w="9648"/>
            <w:vAlign w:val="top"/>
            <w:shd w:fill="FFFFFF"/>
          </w:tcPr>
          <w:p>
            <w:r/>
            <w:r>
              <w:rPr>
                <w:b w:val="0"/>
                <w:sz w:val="17"/>
              </w:rPr>
              <w:t>I can access Microsoft Defender portal where required.</w:t>
            </w:r>
          </w:p>
        </w:tc>
      </w:tr>
      <w:tr>
        <w:tc>
          <w:tcPr>
            <w:tcW w:type="dxa" w:w="1008"/>
            <w:vAlign w:val="top"/>
            <w:shd w:fill="F8FAFC"/>
          </w:tcPr>
          <w:p>
            <w:r/>
            <w:r>
              <w:rPr>
                <w:b/>
                <w:sz w:val="17"/>
              </w:rPr>
              <w:t>☐</w:t>
            </w:r>
          </w:p>
        </w:tc>
        <w:tc>
          <w:tcPr>
            <w:tcW w:type="dxa" w:w="9648"/>
            <w:vAlign w:val="top"/>
            <w:shd w:fill="FFFFFF"/>
          </w:tcPr>
          <w:p>
            <w:r/>
            <w:r>
              <w:rPr>
                <w:b w:val="0"/>
                <w:sz w:val="17"/>
              </w:rPr>
              <w:t>My laptop/desktop, browser, internet connection, PDF reader, and screenshot tool are ready.</w:t>
            </w:r>
          </w:p>
        </w:tc>
      </w:tr>
      <w:tr>
        <w:tc>
          <w:tcPr>
            <w:tcW w:type="dxa" w:w="1008"/>
            <w:vAlign w:val="top"/>
            <w:shd w:fill="F8FAFC"/>
          </w:tcPr>
          <w:p>
            <w:r/>
            <w:r>
              <w:rPr>
                <w:b/>
                <w:sz w:val="17"/>
              </w:rPr>
              <w:t>☐</w:t>
            </w:r>
          </w:p>
        </w:tc>
        <w:tc>
          <w:tcPr>
            <w:tcW w:type="dxa" w:w="9648"/>
            <w:vAlign w:val="top"/>
            <w:shd w:fill="FFFFFF"/>
          </w:tcPr>
          <w:p>
            <w:r/>
            <w:r>
              <w:rPr>
                <w:b w:val="0"/>
                <w:sz w:val="17"/>
              </w:rPr>
              <w:t>I understand that paid Defender plans may create cost and must only be enabled inside approved scope.</w:t>
            </w:r>
          </w:p>
        </w:tc>
      </w:tr>
      <w:tr>
        <w:tc>
          <w:tcPr>
            <w:tcW w:type="dxa" w:w="1008"/>
            <w:vAlign w:val="top"/>
            <w:shd w:fill="F8FAFC"/>
          </w:tcPr>
          <w:p>
            <w:r/>
            <w:r>
              <w:rPr>
                <w:b/>
                <w:sz w:val="17"/>
              </w:rPr>
              <w:t>☐</w:t>
            </w:r>
          </w:p>
        </w:tc>
        <w:tc>
          <w:tcPr>
            <w:tcW w:type="dxa" w:w="9648"/>
            <w:vAlign w:val="top"/>
            <w:shd w:fill="FFFFFF"/>
          </w:tcPr>
          <w:p>
            <w:r/>
            <w:r>
              <w:rPr>
                <w:b w:val="0"/>
                <w:sz w:val="17"/>
              </w:rPr>
              <w:t>I will not use production, personal, customer, HR, legal, financial, or confidential data in labs.</w:t>
            </w:r>
          </w:p>
        </w:tc>
      </w:tr>
      <w:tr>
        <w:tc>
          <w:tcPr>
            <w:tcW w:type="dxa" w:w="1008"/>
            <w:vAlign w:val="top"/>
            <w:shd w:fill="F8FAFC"/>
          </w:tcPr>
          <w:p>
            <w:r/>
            <w:r>
              <w:rPr>
                <w:b/>
                <w:sz w:val="17"/>
              </w:rPr>
              <w:t>☐</w:t>
            </w:r>
          </w:p>
        </w:tc>
        <w:tc>
          <w:tcPr>
            <w:tcW w:type="dxa" w:w="9648"/>
            <w:vAlign w:val="top"/>
            <w:shd w:fill="FFFFFF"/>
          </w:tcPr>
          <w:p>
            <w:r/>
            <w:r>
              <w:rPr>
                <w:b w:val="0"/>
                <w:sz w:val="17"/>
              </w:rPr>
              <w:t>I understand the cleanup expectations after the labs.</w:t>
            </w:r>
          </w:p>
        </w:tc>
      </w:tr>
    </w:tbl>
    <w:p/>
    <w:p>
      <w:pPr>
        <w:spacing w:before="60" w:after="0"/>
      </w:pPr>
      <w:r>
        <w:rPr>
          <w:b/>
          <w:color w:val="0F62FE"/>
          <w:sz w:val="16"/>
        </w:rPr>
        <w:t>APPENDIX B</w:t>
      </w:r>
    </w:p>
    <w:p>
      <w:pPr>
        <w:spacing w:before="0" w:after="120"/>
      </w:pPr>
      <w:r>
        <w:rPr>
          <w:b/>
          <w:color w:val="1F2937"/>
          <w:sz w:val="36"/>
        </w:rPr>
        <w:t>Portal and Access Checklist</w:t>
      </w:r>
    </w:p>
    <w:p>
      <w:pPr>
        <w:spacing w:before="0" w:after="160"/>
      </w:pPr>
      <w:r>
        <w:rPr>
          <w:color w:val="4B5563"/>
          <w:sz w:val="20"/>
        </w:rPr>
        <w:t>Use this during class if access issues occur.</w:t>
      </w:r>
    </w:p>
    <w:p>
      <w:pPr>
        <w:pBdr>
          <w:bottom w:val="single" w:sz="8" w:space="1" w:color="0F62FE"/>
        </w:pBdr>
      </w:pP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3312"/>
            <w:vAlign w:val="top"/>
            <w:shd w:fill="0F62FE"/>
          </w:tcPr>
          <w:p>
            <w:r/>
            <w:r>
              <w:rPr>
                <w:b/>
                <w:color w:val="FFFFFF"/>
                <w:sz w:val="17"/>
              </w:rPr>
              <w:t>Portal / service</w:t>
            </w:r>
          </w:p>
        </w:tc>
        <w:tc>
          <w:tcPr>
            <w:tcW w:type="dxa" w:w="7344"/>
            <w:vAlign w:val="top"/>
            <w:shd w:fill="0F62FE"/>
          </w:tcPr>
          <w:p>
            <w:r/>
            <w:r>
              <w:rPr>
                <w:b/>
                <w:color w:val="FFFFFF"/>
                <w:sz w:val="17"/>
              </w:rPr>
              <w:t>What to confirm</w:t>
            </w:r>
          </w:p>
        </w:tc>
      </w:tr>
      <w:tr>
        <w:tc>
          <w:tcPr>
            <w:tcW w:type="dxa" w:w="3312"/>
            <w:vAlign w:val="top"/>
            <w:shd w:fill="F8FAFC"/>
          </w:tcPr>
          <w:p>
            <w:r/>
            <w:r>
              <w:rPr>
                <w:b/>
                <w:sz w:val="17"/>
              </w:rPr>
              <w:t>Microsoft Learn</w:t>
            </w:r>
          </w:p>
        </w:tc>
        <w:tc>
          <w:tcPr>
            <w:tcW w:type="dxa" w:w="7344"/>
            <w:vAlign w:val="top"/>
            <w:shd w:fill="FFFFFF"/>
          </w:tcPr>
          <w:p>
            <w:r/>
            <w:r>
              <w:rPr>
                <w:b w:val="0"/>
                <w:sz w:val="17"/>
              </w:rPr>
              <w:t>Sign-in works and the course collection is accessible.</w:t>
            </w:r>
          </w:p>
        </w:tc>
      </w:tr>
      <w:tr>
        <w:tc>
          <w:tcPr>
            <w:tcW w:type="dxa" w:w="3312"/>
            <w:vAlign w:val="top"/>
            <w:shd w:fill="F8FAFC"/>
          </w:tcPr>
          <w:p>
            <w:r/>
            <w:r>
              <w:rPr>
                <w:b/>
                <w:sz w:val="17"/>
              </w:rPr>
              <w:t>Azure portal</w:t>
            </w:r>
          </w:p>
        </w:tc>
        <w:tc>
          <w:tcPr>
            <w:tcW w:type="dxa" w:w="7344"/>
            <w:vAlign w:val="top"/>
            <w:shd w:fill="FFFFFF"/>
          </w:tcPr>
          <w:p>
            <w:r/>
            <w:r>
              <w:rPr>
                <w:b w:val="0"/>
                <w:sz w:val="17"/>
              </w:rPr>
              <w:t>Correct tenant selected; assigned subscription/resource group visible.</w:t>
            </w:r>
          </w:p>
        </w:tc>
      </w:tr>
      <w:tr>
        <w:tc>
          <w:tcPr>
            <w:tcW w:type="dxa" w:w="3312"/>
            <w:vAlign w:val="top"/>
            <w:shd w:fill="F8FAFC"/>
          </w:tcPr>
          <w:p>
            <w:r/>
            <w:r>
              <w:rPr>
                <w:b/>
                <w:sz w:val="17"/>
              </w:rPr>
              <w:t>Microsoft Defender for Cloud</w:t>
            </w:r>
          </w:p>
        </w:tc>
        <w:tc>
          <w:tcPr>
            <w:tcW w:type="dxa" w:w="7344"/>
            <w:vAlign w:val="top"/>
            <w:shd w:fill="FFFFFF"/>
          </w:tcPr>
          <w:p>
            <w:r/>
            <w:r>
              <w:rPr>
                <w:b w:val="0"/>
                <w:sz w:val="17"/>
              </w:rPr>
              <w:t>Environment settings, recommendations, Secure Score, inventory, workbooks, and compliance views load.</w:t>
            </w:r>
          </w:p>
        </w:tc>
      </w:tr>
      <w:tr>
        <w:tc>
          <w:tcPr>
            <w:tcW w:type="dxa" w:w="3312"/>
            <w:vAlign w:val="top"/>
            <w:shd w:fill="F8FAFC"/>
          </w:tcPr>
          <w:p>
            <w:r/>
            <w:r>
              <w:rPr>
                <w:b/>
                <w:sz w:val="17"/>
              </w:rPr>
              <w:t>Microsoft Defender portal</w:t>
            </w:r>
          </w:p>
        </w:tc>
        <w:tc>
          <w:tcPr>
            <w:tcW w:type="dxa" w:w="7344"/>
            <w:vAlign w:val="top"/>
            <w:shd w:fill="FFFFFF"/>
          </w:tcPr>
          <w:p>
            <w:r/>
            <w:r>
              <w:rPr>
                <w:b w:val="0"/>
                <w:sz w:val="17"/>
              </w:rPr>
              <w:t>Incidents, alerts, and XDR views are accessible if included in the course track.</w:t>
            </w:r>
          </w:p>
        </w:tc>
      </w:tr>
      <w:tr>
        <w:tc>
          <w:tcPr>
            <w:tcW w:type="dxa" w:w="3312"/>
            <w:vAlign w:val="top"/>
            <w:shd w:fill="F8FAFC"/>
          </w:tcPr>
          <w:p>
            <w:r/>
            <w:r>
              <w:rPr>
                <w:b/>
                <w:sz w:val="17"/>
              </w:rPr>
              <w:t>Microsoft Entra admin center</w:t>
            </w:r>
          </w:p>
        </w:tc>
        <w:tc>
          <w:tcPr>
            <w:tcW w:type="dxa" w:w="7344"/>
            <w:vAlign w:val="top"/>
            <w:shd w:fill="FFFFFF"/>
          </w:tcPr>
          <w:p>
            <w:r/>
            <w:r>
              <w:rPr>
                <w:b w:val="0"/>
                <w:sz w:val="17"/>
              </w:rPr>
              <w:t>Visible only if identity labs or administrative review are included.</w:t>
            </w:r>
          </w:p>
        </w:tc>
      </w:tr>
      <w:tr>
        <w:tc>
          <w:tcPr>
            <w:tcW w:type="dxa" w:w="3312"/>
            <w:vAlign w:val="top"/>
            <w:shd w:fill="F8FAFC"/>
          </w:tcPr>
          <w:p>
            <w:r/>
            <w:r>
              <w:rPr>
                <w:b/>
                <w:sz w:val="17"/>
              </w:rPr>
              <w:t>GitHub or course site</w:t>
            </w:r>
          </w:p>
        </w:tc>
        <w:tc>
          <w:tcPr>
            <w:tcW w:type="dxa" w:w="7344"/>
            <w:vAlign w:val="top"/>
            <w:shd w:fill="FFFFFF"/>
          </w:tcPr>
          <w:p>
            <w:r/>
            <w:r>
              <w:rPr>
                <w:b w:val="0"/>
                <w:sz w:val="17"/>
              </w:rPr>
              <w:t>Courseware, lab files, or self-paced content can be accessed.</w:t>
            </w:r>
          </w:p>
        </w:tc>
      </w:tr>
      <w:tr>
        <w:tc>
          <w:tcPr>
            <w:tcW w:type="dxa" w:w="3312"/>
            <w:vAlign w:val="top"/>
            <w:shd w:fill="F8FAFC"/>
          </w:tcPr>
          <w:p>
            <w:r/>
            <w:r>
              <w:rPr>
                <w:b/>
                <w:sz w:val="17"/>
              </w:rPr>
              <w:t>Teams / Loop / LMS</w:t>
            </w:r>
          </w:p>
        </w:tc>
        <w:tc>
          <w:tcPr>
            <w:tcW w:type="dxa" w:w="7344"/>
            <w:vAlign w:val="top"/>
            <w:shd w:fill="FFFFFF"/>
          </w:tcPr>
          <w:p>
            <w:r/>
            <w:r>
              <w:rPr>
                <w:b w:val="0"/>
                <w:sz w:val="17"/>
              </w:rPr>
              <w:t>Course communication, submissions, and checklists are accessible.</w:t>
            </w:r>
          </w:p>
        </w:tc>
      </w:tr>
    </w:tbl>
    <w:p/>
    <w:p>
      <w:r>
        <w:br w:type="page"/>
      </w:r>
    </w:p>
    <w:p>
      <w:pPr>
        <w:spacing w:before="60" w:after="0"/>
      </w:pPr>
      <w:r>
        <w:rPr>
          <w:b/>
          <w:color w:val="0F62FE"/>
          <w:sz w:val="16"/>
        </w:rPr>
        <w:t>APPENDIX C</w:t>
      </w:r>
    </w:p>
    <w:p>
      <w:pPr>
        <w:spacing w:before="0" w:after="120"/>
      </w:pPr>
      <w:r>
        <w:rPr>
          <w:b/>
          <w:color w:val="1F2937"/>
          <w:sz w:val="36"/>
        </w:rPr>
        <w:t>Lab Naming and Cleanup Checklist</w:t>
      </w:r>
    </w:p>
    <w:p>
      <w:pPr>
        <w:spacing w:before="0" w:after="160"/>
      </w:pPr>
      <w:r>
        <w:rPr>
          <w:color w:val="4B5563"/>
          <w:sz w:val="20"/>
        </w:rPr>
        <w:t>Use consistent naming and clean up after the workshop to reduce cost and residual access risk.</w:t>
      </w:r>
    </w:p>
    <w:p>
      <w:pPr>
        <w:pBdr>
          <w:bottom w:val="single" w:sz="8" w:space="1" w:color="0F62FE"/>
        </w:pBdr>
      </w:pPr>
    </w:p>
    <w:p>
      <w:pPr>
        <w:pStyle w:val="Heading2"/>
      </w:pPr>
      <w:r>
        <w:t>Recommended naming pattern</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2880"/>
            <w:vAlign w:val="top"/>
            <w:shd w:fill="0F62FE"/>
          </w:tcPr>
          <w:p>
            <w:r/>
            <w:r>
              <w:rPr>
                <w:b/>
                <w:color w:val="FFFFFF"/>
                <w:sz w:val="17"/>
              </w:rPr>
              <w:t>Resource type</w:t>
            </w:r>
          </w:p>
        </w:tc>
        <w:tc>
          <w:tcPr>
            <w:tcW w:type="dxa" w:w="7776"/>
            <w:vAlign w:val="top"/>
            <w:shd w:fill="0F62FE"/>
          </w:tcPr>
          <w:p>
            <w:r/>
            <w:r>
              <w:rPr>
                <w:b/>
                <w:color w:val="FFFFFF"/>
                <w:sz w:val="17"/>
              </w:rPr>
              <w:t>Example naming pattern</w:t>
            </w:r>
          </w:p>
        </w:tc>
      </w:tr>
      <w:tr>
        <w:tc>
          <w:tcPr>
            <w:tcW w:type="dxa" w:w="2880"/>
            <w:vAlign w:val="top"/>
            <w:shd w:fill="F8FAFC"/>
          </w:tcPr>
          <w:p>
            <w:r/>
            <w:r>
              <w:rPr>
                <w:b/>
                <w:sz w:val="17"/>
              </w:rPr>
              <w:t>Resource group</w:t>
            </w:r>
          </w:p>
        </w:tc>
        <w:tc>
          <w:tcPr>
            <w:tcW w:type="dxa" w:w="7776"/>
            <w:vAlign w:val="top"/>
            <w:shd w:fill="FFFFFF"/>
          </w:tcPr>
          <w:p>
            <w:r/>
            <w:r>
              <w:rPr>
                <w:b w:val="0"/>
                <w:sz w:val="17"/>
              </w:rPr>
              <w:t>rg-cese323-lab-&lt;studentname&gt;</w:t>
            </w:r>
          </w:p>
        </w:tc>
      </w:tr>
      <w:tr>
        <w:tc>
          <w:tcPr>
            <w:tcW w:type="dxa" w:w="2880"/>
            <w:vAlign w:val="top"/>
            <w:shd w:fill="F8FAFC"/>
          </w:tcPr>
          <w:p>
            <w:r/>
            <w:r>
              <w:rPr>
                <w:b/>
                <w:sz w:val="17"/>
              </w:rPr>
              <w:t>Storage account</w:t>
            </w:r>
          </w:p>
        </w:tc>
        <w:tc>
          <w:tcPr>
            <w:tcW w:type="dxa" w:w="7776"/>
            <w:vAlign w:val="top"/>
            <w:shd w:fill="FFFFFF"/>
          </w:tcPr>
          <w:p>
            <w:r/>
            <w:r>
              <w:rPr>
                <w:b w:val="0"/>
                <w:sz w:val="17"/>
              </w:rPr>
              <w:t>stcese323&lt;random&gt;</w:t>
            </w:r>
          </w:p>
        </w:tc>
      </w:tr>
      <w:tr>
        <w:tc>
          <w:tcPr>
            <w:tcW w:type="dxa" w:w="2880"/>
            <w:vAlign w:val="top"/>
            <w:shd w:fill="F8FAFC"/>
          </w:tcPr>
          <w:p>
            <w:r/>
            <w:r>
              <w:rPr>
                <w:b/>
                <w:sz w:val="17"/>
              </w:rPr>
              <w:t>App Service</w:t>
            </w:r>
          </w:p>
        </w:tc>
        <w:tc>
          <w:tcPr>
            <w:tcW w:type="dxa" w:w="7776"/>
            <w:vAlign w:val="top"/>
            <w:shd w:fill="FFFFFF"/>
          </w:tcPr>
          <w:p>
            <w:r/>
            <w:r>
              <w:rPr>
                <w:b w:val="0"/>
                <w:sz w:val="17"/>
              </w:rPr>
              <w:t>app-cese323-&lt;studentname&gt;</w:t>
            </w:r>
          </w:p>
        </w:tc>
      </w:tr>
      <w:tr>
        <w:tc>
          <w:tcPr>
            <w:tcW w:type="dxa" w:w="2880"/>
            <w:vAlign w:val="top"/>
            <w:shd w:fill="F8FAFC"/>
          </w:tcPr>
          <w:p>
            <w:r/>
            <w:r>
              <w:rPr>
                <w:b/>
                <w:sz w:val="17"/>
              </w:rPr>
              <w:t>AKS cluster</w:t>
            </w:r>
          </w:p>
        </w:tc>
        <w:tc>
          <w:tcPr>
            <w:tcW w:type="dxa" w:w="7776"/>
            <w:vAlign w:val="top"/>
            <w:shd w:fill="FFFFFF"/>
          </w:tcPr>
          <w:p>
            <w:r/>
            <w:r>
              <w:rPr>
                <w:b w:val="0"/>
                <w:sz w:val="17"/>
              </w:rPr>
              <w:t>aks-cese323-&lt;studentname&gt;</w:t>
            </w:r>
          </w:p>
        </w:tc>
      </w:tr>
      <w:tr>
        <w:tc>
          <w:tcPr>
            <w:tcW w:type="dxa" w:w="2880"/>
            <w:vAlign w:val="top"/>
            <w:shd w:fill="F8FAFC"/>
          </w:tcPr>
          <w:p>
            <w:r/>
            <w:r>
              <w:rPr>
                <w:b/>
                <w:sz w:val="17"/>
              </w:rPr>
              <w:t>AI resource</w:t>
            </w:r>
          </w:p>
        </w:tc>
        <w:tc>
          <w:tcPr>
            <w:tcW w:type="dxa" w:w="7776"/>
            <w:vAlign w:val="top"/>
            <w:shd w:fill="FFFFFF"/>
          </w:tcPr>
          <w:p>
            <w:r/>
            <w:r>
              <w:rPr>
                <w:b w:val="0"/>
                <w:sz w:val="17"/>
              </w:rPr>
              <w:t>ai-cese323-&lt;studentname&gt;</w:t>
            </w:r>
          </w:p>
        </w:tc>
      </w:tr>
    </w:tbl>
    <w:p/>
    <w:p>
      <w:pPr>
        <w:pStyle w:val="Heading2"/>
      </w:pPr>
      <w:r>
        <w:t>Cleanup checklist</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12"/>
        <w:gridCol w:w="5112"/>
      </w:tblGrid>
      <w:tr>
        <w:tc>
          <w:tcPr>
            <w:tcW w:type="dxa" w:w="3168"/>
            <w:vAlign w:val="top"/>
            <w:shd w:fill="0F62FE"/>
          </w:tcPr>
          <w:p>
            <w:r/>
            <w:r>
              <w:rPr>
                <w:b/>
                <w:color w:val="FFFFFF"/>
                <w:sz w:val="17"/>
              </w:rPr>
              <w:t>Item</w:t>
            </w:r>
          </w:p>
        </w:tc>
        <w:tc>
          <w:tcPr>
            <w:tcW w:type="dxa" w:w="7488"/>
            <w:vAlign w:val="top"/>
            <w:shd w:fill="0F62FE"/>
          </w:tcPr>
          <w:p>
            <w:r/>
            <w:r>
              <w:rPr>
                <w:b/>
                <w:color w:val="FFFFFF"/>
                <w:sz w:val="17"/>
              </w:rPr>
              <w:t>Cleanup action</w:t>
            </w:r>
          </w:p>
        </w:tc>
      </w:tr>
      <w:tr>
        <w:tc>
          <w:tcPr>
            <w:tcW w:type="dxa" w:w="3168"/>
            <w:vAlign w:val="top"/>
            <w:shd w:fill="F8FAFC"/>
          </w:tcPr>
          <w:p>
            <w:r/>
            <w:r>
              <w:rPr>
                <w:b/>
                <w:sz w:val="17"/>
              </w:rPr>
              <w:t>Defender paid plans</w:t>
            </w:r>
          </w:p>
        </w:tc>
        <w:tc>
          <w:tcPr>
            <w:tcW w:type="dxa" w:w="7488"/>
            <w:vAlign w:val="top"/>
            <w:shd w:fill="FFFFFF"/>
          </w:tcPr>
          <w:p>
            <w:r/>
            <w:r>
              <w:rPr>
                <w:b w:val="0"/>
                <w:sz w:val="17"/>
              </w:rPr>
              <w:t>Disable after lab unless the customer or lab owner explicitly wants them retained.</w:t>
            </w:r>
          </w:p>
        </w:tc>
      </w:tr>
      <w:tr>
        <w:tc>
          <w:tcPr>
            <w:tcW w:type="dxa" w:w="3168"/>
            <w:vAlign w:val="top"/>
            <w:shd w:fill="F8FAFC"/>
          </w:tcPr>
          <w:p>
            <w:r/>
            <w:r>
              <w:rPr>
                <w:b/>
                <w:sz w:val="17"/>
              </w:rPr>
              <w:t>AKS clusters</w:t>
            </w:r>
          </w:p>
        </w:tc>
        <w:tc>
          <w:tcPr>
            <w:tcW w:type="dxa" w:w="7488"/>
            <w:vAlign w:val="top"/>
            <w:shd w:fill="FFFFFF"/>
          </w:tcPr>
          <w:p>
            <w:r/>
            <w:r>
              <w:rPr>
                <w:b w:val="0"/>
                <w:sz w:val="17"/>
              </w:rPr>
              <w:t>Delete after the lab if no longer required.</w:t>
            </w:r>
          </w:p>
        </w:tc>
      </w:tr>
      <w:tr>
        <w:tc>
          <w:tcPr>
            <w:tcW w:type="dxa" w:w="3168"/>
            <w:vAlign w:val="top"/>
            <w:shd w:fill="F8FAFC"/>
          </w:tcPr>
          <w:p>
            <w:r/>
            <w:r>
              <w:rPr>
                <w:b/>
                <w:sz w:val="17"/>
              </w:rPr>
              <w:t>Storage accounts</w:t>
            </w:r>
          </w:p>
        </w:tc>
        <w:tc>
          <w:tcPr>
            <w:tcW w:type="dxa" w:w="7488"/>
            <w:vAlign w:val="top"/>
            <w:shd w:fill="FFFFFF"/>
          </w:tcPr>
          <w:p>
            <w:r/>
            <w:r>
              <w:rPr>
                <w:b w:val="0"/>
                <w:sz w:val="17"/>
              </w:rPr>
              <w:t>Delete after evidence is captured and approved.</w:t>
            </w:r>
          </w:p>
        </w:tc>
      </w:tr>
      <w:tr>
        <w:tc>
          <w:tcPr>
            <w:tcW w:type="dxa" w:w="3168"/>
            <w:vAlign w:val="top"/>
            <w:shd w:fill="F8FAFC"/>
          </w:tcPr>
          <w:p>
            <w:r/>
            <w:r>
              <w:rPr>
                <w:b/>
                <w:sz w:val="17"/>
              </w:rPr>
              <w:t>App Services</w:t>
            </w:r>
          </w:p>
        </w:tc>
        <w:tc>
          <w:tcPr>
            <w:tcW w:type="dxa" w:w="7488"/>
            <w:vAlign w:val="top"/>
            <w:shd w:fill="FFFFFF"/>
          </w:tcPr>
          <w:p>
            <w:r/>
            <w:r>
              <w:rPr>
                <w:b w:val="0"/>
                <w:sz w:val="17"/>
              </w:rPr>
              <w:t>Stop or delete after lab completion.</w:t>
            </w:r>
          </w:p>
        </w:tc>
      </w:tr>
      <w:tr>
        <w:tc>
          <w:tcPr>
            <w:tcW w:type="dxa" w:w="3168"/>
            <w:vAlign w:val="top"/>
            <w:shd w:fill="F8FAFC"/>
          </w:tcPr>
          <w:p>
            <w:r/>
            <w:r>
              <w:rPr>
                <w:b/>
                <w:sz w:val="17"/>
              </w:rPr>
              <w:t>AI resources/model deployments</w:t>
            </w:r>
          </w:p>
        </w:tc>
        <w:tc>
          <w:tcPr>
            <w:tcW w:type="dxa" w:w="7488"/>
            <w:vAlign w:val="top"/>
            <w:shd w:fill="FFFFFF"/>
          </w:tcPr>
          <w:p>
            <w:r/>
            <w:r>
              <w:rPr>
                <w:b w:val="0"/>
                <w:sz w:val="17"/>
              </w:rPr>
              <w:t>Delete, disable, or scale down after lab as instructed.</w:t>
            </w:r>
          </w:p>
        </w:tc>
      </w:tr>
      <w:tr>
        <w:tc>
          <w:tcPr>
            <w:tcW w:type="dxa" w:w="3168"/>
            <w:vAlign w:val="top"/>
            <w:shd w:fill="F8FAFC"/>
          </w:tcPr>
          <w:p>
            <w:r/>
            <w:r>
              <w:rPr>
                <w:b/>
                <w:sz w:val="17"/>
              </w:rPr>
              <w:t>Role assignments</w:t>
            </w:r>
          </w:p>
        </w:tc>
        <w:tc>
          <w:tcPr>
            <w:tcW w:type="dxa" w:w="7488"/>
            <w:vAlign w:val="top"/>
            <w:shd w:fill="FFFFFF"/>
          </w:tcPr>
          <w:p>
            <w:r/>
            <w:r>
              <w:rPr>
                <w:b w:val="0"/>
                <w:sz w:val="17"/>
              </w:rPr>
              <w:t>Remove temporary student access.</w:t>
            </w:r>
          </w:p>
        </w:tc>
      </w:tr>
      <w:tr>
        <w:tc>
          <w:tcPr>
            <w:tcW w:type="dxa" w:w="3168"/>
            <w:vAlign w:val="top"/>
            <w:shd w:fill="F8FAFC"/>
          </w:tcPr>
          <w:p>
            <w:r/>
            <w:r>
              <w:rPr>
                <w:b/>
                <w:sz w:val="17"/>
              </w:rPr>
              <w:t>Budgets and alerts</w:t>
            </w:r>
          </w:p>
        </w:tc>
        <w:tc>
          <w:tcPr>
            <w:tcW w:type="dxa" w:w="7488"/>
            <w:vAlign w:val="top"/>
            <w:shd w:fill="FFFFFF"/>
          </w:tcPr>
          <w:p>
            <w:r/>
            <w:r>
              <w:rPr>
                <w:b w:val="0"/>
                <w:sz w:val="17"/>
              </w:rPr>
              <w:t>Review spend after the course.</w:t>
            </w:r>
          </w:p>
        </w:tc>
      </w:tr>
      <w:tr>
        <w:tc>
          <w:tcPr>
            <w:tcW w:type="dxa" w:w="3168"/>
            <w:vAlign w:val="top"/>
            <w:shd w:fill="F8FAFC"/>
          </w:tcPr>
          <w:p>
            <w:r/>
            <w:r>
              <w:rPr>
                <w:b/>
                <w:sz w:val="17"/>
              </w:rPr>
              <w:t>Evidence files</w:t>
            </w:r>
          </w:p>
        </w:tc>
        <w:tc>
          <w:tcPr>
            <w:tcW w:type="dxa" w:w="7488"/>
            <w:vAlign w:val="top"/>
            <w:shd w:fill="FFFFFF"/>
          </w:tcPr>
          <w:p>
            <w:r/>
            <w:r>
              <w:rPr>
                <w:b w:val="0"/>
                <w:sz w:val="17"/>
              </w:rPr>
              <w:t>Store only sanitized, approved evidence in the required submission location.</w:t>
            </w:r>
          </w:p>
        </w:tc>
      </w:tr>
    </w:tbl>
    <w:p/>
    <w:p>
      <w:pPr>
        <w:spacing w:before="60" w:after="0"/>
      </w:pPr>
      <w:r>
        <w:rPr>
          <w:b/>
          <w:color w:val="0F62FE"/>
          <w:sz w:val="16"/>
        </w:rPr>
        <w:t>APPENDIX D</w:t>
      </w:r>
    </w:p>
    <w:p>
      <w:pPr>
        <w:spacing w:before="0" w:after="120"/>
      </w:pPr>
      <w:r>
        <w:rPr>
          <w:b/>
          <w:color w:val="1F2937"/>
          <w:sz w:val="36"/>
        </w:rPr>
        <w:t>Student Notes</w:t>
      </w:r>
    </w:p>
    <w:p>
      <w:pPr>
        <w:spacing w:before="0" w:after="160"/>
      </w:pPr>
      <w:r>
        <w:rPr>
          <w:color w:val="4B5563"/>
          <w:sz w:val="20"/>
        </w:rPr>
        <w:t>Use this space for environment-specific notes, instructor guidance, and follow-up actions.</w:t>
      </w:r>
    </w:p>
    <w:p>
      <w:pPr>
        <w:pBdr>
          <w:bottom w:val="single" w:sz="8" w:space="1" w:color="0F62FE"/>
        </w:pBdr>
      </w:pPr>
    </w:p>
    <w:p>
      <w:pPr>
        <w:spacing w:after="200"/>
        <w:pBdr>
          <w:bottom w:val="single" w:sz="8" w:space="1" w:color="D1D5DB"/>
        </w:pBdr>
      </w:pPr>
      <w:r>
        <w:rPr>
          <w:b/>
        </w:rPr>
        <w:t xml:space="preserve">1. </w:t>
      </w:r>
    </w:p>
    <w:p>
      <w:pPr>
        <w:spacing w:after="200"/>
        <w:pBdr>
          <w:bottom w:val="single" w:sz="8" w:space="1" w:color="D1D5DB"/>
        </w:pBdr>
      </w:pPr>
      <w:r>
        <w:rPr>
          <w:b/>
        </w:rPr>
        <w:t xml:space="preserve">2. </w:t>
      </w:r>
    </w:p>
    <w:p>
      <w:pPr>
        <w:spacing w:after="200"/>
        <w:pBdr>
          <w:bottom w:val="single" w:sz="8" w:space="1" w:color="D1D5DB"/>
        </w:pBdr>
      </w:pPr>
      <w:r>
        <w:rPr>
          <w:b/>
        </w:rPr>
        <w:t xml:space="preserve">3. </w:t>
      </w:r>
    </w:p>
    <w:p>
      <w:pPr>
        <w:spacing w:after="200"/>
        <w:pBdr>
          <w:bottom w:val="single" w:sz="8" w:space="1" w:color="D1D5DB"/>
        </w:pBdr>
      </w:pPr>
      <w:r>
        <w:rPr>
          <w:b/>
        </w:rPr>
        <w:t xml:space="preserve">4. </w:t>
      </w:r>
    </w:p>
    <w:p>
      <w:pPr>
        <w:spacing w:after="200"/>
        <w:pBdr>
          <w:bottom w:val="single" w:sz="8" w:space="1" w:color="D1D5DB"/>
        </w:pBdr>
      </w:pPr>
      <w:r>
        <w:rPr>
          <w:b/>
        </w:rPr>
        <w:t xml:space="preserve">5. </w:t>
      </w:r>
    </w:p>
    <w:p>
      <w:pPr>
        <w:spacing w:after="200"/>
        <w:pBdr>
          <w:bottom w:val="single" w:sz="8" w:space="1" w:color="D1D5DB"/>
        </w:pBdr>
      </w:pPr>
      <w:r>
        <w:rPr>
          <w:b/>
        </w:rPr>
        <w:t xml:space="preserve">6. </w:t>
      </w:r>
    </w:p>
    <w:p>
      <w:pPr>
        <w:spacing w:after="200"/>
        <w:pBdr>
          <w:bottom w:val="single" w:sz="8" w:space="1" w:color="D1D5DB"/>
        </w:pBdr>
      </w:pPr>
      <w:r>
        <w:rPr>
          <w:b/>
        </w:rPr>
        <w:t xml:space="preserve">7. </w:t>
      </w:r>
    </w:p>
    <w:p>
      <w:pPr>
        <w:spacing w:after="200"/>
        <w:pBdr>
          <w:bottom w:val="single" w:sz="8" w:space="1" w:color="D1D5DB"/>
        </w:pBdr>
      </w:pPr>
      <w:r>
        <w:rPr>
          <w:b/>
        </w:rPr>
        <w:t xml:space="preserve">8. </w:t>
      </w:r>
    </w:p>
    <w:p>
      <w:r>
        <w:br w:type="page"/>
      </w:r>
    </w:p>
    <w:p>
      <w:pPr>
        <w:spacing w:before="60" w:after="0"/>
      </w:pPr>
      <w:r>
        <w:rPr>
          <w:b/>
          <w:color w:val="0F62FE"/>
          <w:sz w:val="16"/>
        </w:rPr>
        <w:t>APPENDIX E</w:t>
      </w:r>
    </w:p>
    <w:p>
      <w:pPr>
        <w:spacing w:before="0" w:after="120"/>
      </w:pPr>
      <w:r>
        <w:rPr>
          <w:b/>
          <w:color w:val="1F2937"/>
          <w:sz w:val="36"/>
        </w:rPr>
        <w:t>Course Source References</w:t>
      </w:r>
    </w:p>
    <w:p>
      <w:pPr>
        <w:spacing w:before="0" w:after="160"/>
      </w:pPr>
      <w:r>
        <w:rPr>
          <w:color w:val="4B5563"/>
          <w:sz w:val="20"/>
        </w:rPr>
        <w:t>Reference sources used to assemble this student guide.</w:t>
      </w:r>
    </w:p>
    <w:p>
      <w:pPr>
        <w:pBdr>
          <w:bottom w:val="single" w:sz="8" w:space="1" w:color="0F62FE"/>
        </w:pBdr>
      </w:pPr>
    </w:p>
    <w:p>
      <w:r>
        <w:rPr>
          <w:b/>
        </w:rPr>
        <w:t>Primary courseware sources</w:t>
      </w:r>
    </w:p>
    <w:p>
      <w:pPr>
        <w:pStyle w:val="ListBullet"/>
      </w:pPr>
      <w:r>
        <w:t>Cloud Security Envisioning &amp; Strategy Workshop Syllabus AZ.docx - workshop objectives, agenda, workload selection, practical remediation, and operational review structure.</w:t>
      </w:r>
    </w:p>
    <w:p>
      <w:pPr>
        <w:pStyle w:val="ListBullet"/>
      </w:pPr>
      <w:r>
        <w:t>Pre-Course Lab Requirements.txt - student readiness, account access, permissions, lab safety, workload prerequisites, live environment controls, and cleanup expectations.</w:t>
      </w:r>
    </w:p>
    <w:p>
      <w:pPr>
        <w:pStyle w:val="ListBullet"/>
      </w:pPr>
      <w:r>
        <w:t>Microsoft-Learn-Collection.txt - Microsoft Learn collection URL and collection context.</w:t>
      </w:r>
    </w:p>
    <w:p>
      <w:r>
        <w:rPr>
          <w:b/>
        </w:rPr>
        <w:t>Microsoft Learn and documentation links captured in the course source pack</w:t>
      </w:r>
    </w:p>
    <w:p>
      <w:pPr>
        <w:pStyle w:val="ListBullet"/>
      </w:pPr>
      <w:hyperlink r:id="rId11">
        <w:r>
          <w:rPr>
            <w:color w:val="0F62FE"/>
            <w:u w:val="single"/>
          </w:rPr>
          <w:t>Cloud Security Envisioning &amp; Strategy Workshop Syllabus collection</w:t>
        </w:r>
      </w:hyperlink>
    </w:p>
    <w:p>
      <w:pPr>
        <w:pStyle w:val="ListBullet"/>
      </w:pPr>
      <w:hyperlink r:id="rId12">
        <w:r>
          <w:rPr>
            <w:color w:val="0F62FE"/>
            <w:u w:val="single"/>
          </w:rPr>
          <w:t>Defender XDR prerequisites</w:t>
        </w:r>
      </w:hyperlink>
    </w:p>
    <w:p>
      <w:pPr>
        <w:pStyle w:val="ListBullet"/>
      </w:pPr>
      <w:hyperlink r:id="rId13">
        <w:r>
          <w:rPr>
            <w:color w:val="0F62FE"/>
            <w:u w:val="single"/>
          </w:rPr>
          <w:t>Connect Azure subscriptions to Microsoft Defender for Cloud</w:t>
        </w:r>
      </w:hyperlink>
    </w:p>
    <w:p>
      <w:pPr>
        <w:pStyle w:val="ListBullet"/>
      </w:pPr>
      <w:hyperlink r:id="rId14">
        <w:r>
          <w:rPr>
            <w:color w:val="0F62FE"/>
            <w:u w:val="single"/>
          </w:rPr>
          <w:t>Microsoft Defender for Cloud permissions</w:t>
        </w:r>
      </w:hyperlink>
    </w:p>
    <w:p>
      <w:pPr>
        <w:pStyle w:val="ListBullet"/>
      </w:pPr>
      <w:hyperlink r:id="rId15">
        <w:r>
          <w:rPr>
            <w:color w:val="0F62FE"/>
            <w:u w:val="single"/>
          </w:rPr>
          <w:t>Defender for Storage support matrix</w:t>
        </w:r>
      </w:hyperlink>
    </w:p>
    <w:p>
      <w:pPr>
        <w:pStyle w:val="ListBullet"/>
      </w:pPr>
      <w:hyperlink r:id="rId16">
        <w:r>
          <w:rPr>
            <w:color w:val="0F62FE"/>
            <w:u w:val="single"/>
          </w:rPr>
          <w:t>Enable Defender for Containers</w:t>
        </w:r>
      </w:hyperlink>
    </w:p>
    <w:p>
      <w:pPr>
        <w:pStyle w:val="ListBullet"/>
      </w:pPr>
      <w:hyperlink r:id="rId17">
        <w:r>
          <w:rPr>
            <w:color w:val="0F62FE"/>
            <w:u w:val="single"/>
          </w:rPr>
          <w:t>AI threat protection onboarding</w:t>
        </w:r>
      </w:hyperlink>
    </w:p>
    <w:p>
      <w:pPr>
        <w:pStyle w:val="ListBullet"/>
      </w:pPr>
      <w:hyperlink r:id="rId18">
        <w:r>
          <w:rPr>
            <w:color w:val="0F62FE"/>
            <w:u w:val="single"/>
          </w:rPr>
          <w:t>Implement Defender for Cloud AI services training module</w:t>
        </w:r>
      </w:hyperlink>
    </w:p>
    <w:p>
      <w:pPr>
        <w:jc w:val="center"/>
      </w:pPr>
      <w:r>
        <w:rPr>
          <w:b/>
          <w:color w:val="4B5563"/>
        </w:rPr>
        <w:t>End of Student Course Guide</w:t>
      </w:r>
    </w:p>
    <w:sectPr w:rsidR="00FC693F" w:rsidRPr="0006063C" w:rsidSect="00034616">
      <w:headerReference w:type="first" r:id="rId9"/>
      <w:footerReference w:type="first" r:id="rId10"/>
      <w:headerReference w:type="default" r:id="rId19"/>
      <w:footerReference w:type="default" r:id="rId20"/>
      <w:pgSz w:w="12240" w:h="15840"/>
      <w:pgMar w:top="1008" w:right="1008" w:bottom="936" w:left="1008"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B5563"/>
        <w:sz w:val="16"/>
      </w:rPr>
      <w:t xml:space="preserve">Cloud Security Envisioning &amp; Strategy | Student Edition | Page </w:t>
    </w:r>
    <w:r>
      <w:fldChar w:fldCharType="begin"/>
      <w:instrText xml:space="preserve">PAGE</w:instrText>
      <w:fldChar w:fldCharType="end"/>
    </w:r>
    <w:r>
      <w:rPr>
        <w:color w:val="4B5563"/>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1" w:color="E5E7EB"/>
      </w:pBdr>
    </w:pPr>
    <w:r/>
    <w:r>
      <w:rPr>
        <w:color w:val="4B5563"/>
        <w:sz w:val="16"/>
      </w:rPr>
      <w:t>CESE323 ERC1.0 - Student Course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0F62F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aption">
    <w:name w:val="Guide Caption"/>
    <w:rPr>
      <w:rFonts w:ascii="Aptos" w:hAnsi="Aptos"/>
      <w:i/>
      <w:color w:val="4B5563"/>
      <w:sz w:val="16"/>
    </w:rPr>
  </w:style>
  <w:style w:type="paragraph" w:customStyle="1" w:styleId="SmallBody">
    <w:name w:val="Small Body"/>
    <w:pPr>
      <w:spacing w:after="80"/>
    </w:pPr>
    <w:rPr>
      <w:rFonts w:ascii="Aptos" w:hAnsi="Apto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collections/qrx3iqtkpwee6g?source=docs&amp;sharingId=6319874F856A7FF8" TargetMode="External"/><Relationship Id="rId12" Type="http://schemas.openxmlformats.org/officeDocument/2006/relationships/hyperlink" Target="https://learn.microsoft.com/en-us/defender-xdr/prerequisites" TargetMode="External"/><Relationship Id="rId13" Type="http://schemas.openxmlformats.org/officeDocument/2006/relationships/hyperlink" Target="https://learn.microsoft.com/en-us/azure/defender-for-cloud/connect-azure-subscription" TargetMode="External"/><Relationship Id="rId14" Type="http://schemas.openxmlformats.org/officeDocument/2006/relationships/hyperlink" Target="https://learn.microsoft.com/en-us/azure/defender-for-cloud/permissions" TargetMode="External"/><Relationship Id="rId15" Type="http://schemas.openxmlformats.org/officeDocument/2006/relationships/hyperlink" Target="https://learn.microsoft.com/en-us/azure/defender-for-cloud/support-matrix-defender-for-storage" TargetMode="External"/><Relationship Id="rId16" Type="http://schemas.openxmlformats.org/officeDocument/2006/relationships/hyperlink" Target="https://learn.microsoft.com/en-us/azure/defender-for-cloud/defender-for-containers-enable-plan" TargetMode="External"/><Relationship Id="rId17" Type="http://schemas.openxmlformats.org/officeDocument/2006/relationships/hyperlink" Target="https://learn.microsoft.com/en-us/azure/defender-for-cloud/ai-onboarding" TargetMode="External"/><Relationship Id="rId18" Type="http://schemas.openxmlformats.org/officeDocument/2006/relationships/hyperlink" Target="https://learn.microsoft.com/en-us/training/modules/implement-defender-cloud-ai-services/" TargetMode="External"/><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