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8"/>
      </w:tblGrid>
      <w:tr>
        <w:tc>
          <w:tcPr>
            <w:tcW w:type="dxa" w:w="9978"/>
            <w:shd w:fill="1F4E79"/>
            <w:tcBorders>
              <w:top w:sz="0" w:val="single" w:color="1F4E79"/>
              <w:left w:sz="0" w:val="single" w:color="1F4E79"/>
              <w:bottom w:sz="0" w:val="single" w:color="1F4E79"/>
              <w:right w:sz="0" w:val="single" w:color="1F4E79"/>
            </w:tcBorders>
          </w:tcPr>
          <w:p>
            <w:pPr>
              <w:jc w:val="center"/>
            </w:pPr>
            <w:r>
              <w:rPr>
                <w:b/>
                <w:color w:val="FFFFFF"/>
                <w:sz w:val="48"/>
              </w:rPr>
              <w:br/>
              <w:t>STUDENT COURSE MANUAL</w:t>
              <w:br/>
            </w:r>
            <w:r>
              <w:rPr>
                <w:b w:val="0"/>
                <w:color w:val="FFFFFF"/>
                <w:sz w:val="28"/>
              </w:rPr>
              <w:t>CESE323 ERC1.0 - Cloud Security Envisioning &amp; Strategy</w:t>
              <w:br/>
            </w:r>
            <w:r>
              <w:rPr>
                <w:b w:val="0"/>
                <w:color w:val="FFFFFF"/>
                <w:sz w:val="12"/>
              </w:rPr>
              <w:br/>
            </w:r>
          </w:p>
        </w:tc>
      </w:tr>
    </w:tbl>
    <w:p>
      <w:pPr>
        <w:jc w:val="center"/>
      </w:pPr>
      <w:r>
        <w:rPr>
          <w:b w:val="0"/>
          <w:color w:val="243447"/>
          <w:sz w:val="26"/>
        </w:rPr>
        <w:br/>
        <w:t>Cloud security strategy, posture management, workload protection, AI security, and remediation planning.</w:t>
        <w:br/>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Field</w:t>
            </w:r>
          </w:p>
        </w:tc>
        <w:tc>
          <w:tcPr>
            <w:tcW w:type="dxa" w:w="6803"/>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Details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Course Code</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CESE323</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Version</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ERC1.0</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Delivery Models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One-day instructor-led workshop and GitHub-enabled self-paced course</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Audience</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Security leaders, cloud administrators, security engineers, solution architects, and technical decision makers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Prepared for</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Student use</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Prepared by</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Skunkworks Academy</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Date</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25 May 2026</w:t>
            </w:r>
          </w:p>
        </w:tc>
      </w:tr>
    </w:tbl>
    <w:tbl>
      <w:tblPr>
        <w:tblW w:type="auto" w:w="0"/>
        <w:jc w:val="center"/>
        <w:tblLook w:firstColumn="1" w:firstRow="1" w:lastColumn="0" w:lastRow="0" w:noHBand="0" w:noVBand="1" w:val="04A0"/>
      </w:tblPr>
      <w:tblGrid>
        <w:gridCol w:w="9978"/>
      </w:tblGrid>
      <w:tr>
        <w:tc>
          <w:tcPr>
            <w:tcW w:type="dxa" w:w="9978"/>
            <w:shd w:fill="F7FBFE"/>
            <w:tcBorders>
              <w:top w:sz="8" w:val="single" w:color="00A3E0"/>
              <w:left w:sz="8" w:val="single" w:color="00A3E0"/>
              <w:bottom w:sz="8" w:val="single" w:color="00A3E0"/>
              <w:right w:sz="8" w:val="single" w:color="00A3E0"/>
            </w:tcBorders>
            <w:vAlign w:val="center"/>
          </w:tcPr>
          <w:p>
            <w:pPr>
              <w:spacing w:after="40"/>
            </w:pPr>
            <w:r>
              <w:rPr>
                <w:b/>
                <w:color w:val="1F4E79"/>
                <w:sz w:val="20"/>
              </w:rPr>
              <w:t>Student use notice</w:t>
            </w:r>
          </w:p>
          <w:p>
            <w:pPr>
              <w:spacing w:after="60"/>
            </w:pPr>
            <w:r>
              <w:rPr>
                <w:sz w:val="18"/>
              </w:rPr>
              <w:t>This manual is designed as a learner-facing guide. It explains the course journey, expected outputs, lab conduct rules, module outcomes, and the templates students will complete during CESE323.</w:t>
            </w:r>
          </w:p>
        </w:tc>
      </w:tr>
    </w:tbl>
    <w:p/>
    <w:p>
      <w:pPr>
        <w:jc w:val="center"/>
      </w:pPr>
      <w:r>
        <w:rPr>
          <w:b w:val="0"/>
          <w:color w:val="667085"/>
          <w:sz w:val="16"/>
        </w:rPr>
        <w:br/>
        <w:t>© Skunkworks Academy. Internal training courseware draft.</w:t>
        <w:br/>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Item</w:t>
            </w:r>
          </w:p>
        </w:tc>
        <w:tc>
          <w:tcPr>
            <w:tcW w:type="dxa" w:w="6236"/>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Detail</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Document title</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Student Course Manual</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Course</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CESE323 ERC1.0 - Cloud Security Envisioning &amp; Strategy</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Course version</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ERC1.0</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Document status</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Student-facing courseware draft</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Primary learning platform</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GitHub-hosted self-paced courseware with instructor-led delivery support</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Primary Microsoft domains</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Microsoft Defender for Cloud, Microsoft Entra, Microsoft Defender XDR, Microsoft Sentinel, Microsoft Purview, Azure AI / Microsoft Foundry</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Assessment model</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Knowledge checks, scenario activities, worksheets, and capstone remediation roadmap</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8"/>
              </w:rPr>
              <w:t>Source alignment</w:t>
            </w:r>
          </w:p>
        </w:tc>
        <w:tc>
          <w:tcPr>
            <w:tcW w:type="dxa" w:w="6236"/>
            <w:vAlign w:val="top"/>
            <w:tcBorders>
              <w:top w:sz="4" w:val="single" w:color="D9E2EC"/>
              <w:left w:sz="4" w:val="single" w:color="D9E2EC"/>
              <w:bottom w:sz="4" w:val="single" w:color="D9E2EC"/>
              <w:right w:sz="4" w:val="single" w:color="D9E2EC"/>
            </w:tcBorders>
          </w:tcPr>
          <w:p>
            <w:pPr>
              <w:spacing w:after="60"/>
            </w:pPr>
            <w:r>
              <w:rPr>
                <w:sz w:val="18"/>
              </w:rPr>
              <w:t>Workshop syllabus, Microsoft Learn collection, and CESE323 lab readiness requirements</w:t>
            </w:r>
          </w:p>
        </w:tc>
      </w:tr>
    </w:tbl>
    <w:p>
      <w:pPr>
        <w:pStyle w:val="Heading1"/>
      </w:pPr>
      <w:r>
        <w:t>Table of Contents</w:t>
      </w:r>
    </w:p>
    <w:p>
      <w:pPr>
        <w:pStyle w:val="ListNumber"/>
        <w:spacing w:after="20"/>
      </w:pPr>
      <w:r>
        <w:t>1. Course Overview</w:t>
      </w:r>
    </w:p>
    <w:p>
      <w:pPr>
        <w:pStyle w:val="ListNumber"/>
        <w:spacing w:after="20"/>
      </w:pPr>
      <w:r>
        <w:t>2. How to Use This Manual</w:t>
      </w:r>
    </w:p>
    <w:p>
      <w:pPr>
        <w:pStyle w:val="ListNumber"/>
        <w:spacing w:after="20"/>
      </w:pPr>
      <w:r>
        <w:t>3. Student Readiness and Lab Safety</w:t>
      </w:r>
    </w:p>
    <w:p>
      <w:pPr>
        <w:pStyle w:val="ListNumber"/>
        <w:spacing w:after="20"/>
      </w:pPr>
      <w:r>
        <w:t>4. Course Module Structure</w:t>
      </w:r>
    </w:p>
    <w:p>
      <w:pPr>
        <w:pStyle w:val="ListNumber"/>
        <w:spacing w:after="20"/>
      </w:pPr>
      <w:r>
        <w:t>5. Module Guides</w:t>
      </w:r>
    </w:p>
    <w:p>
      <w:pPr>
        <w:pStyle w:val="ListNumber"/>
        <w:spacing w:after="20"/>
      </w:pPr>
      <w:r>
        <w:t>6. Learning Activities and Evidence Requirements</w:t>
      </w:r>
    </w:p>
    <w:p>
      <w:pPr>
        <w:pStyle w:val="ListNumber"/>
        <w:spacing w:after="20"/>
      </w:pPr>
      <w:r>
        <w:t>7. Assessment and Capstone Guidance</w:t>
      </w:r>
    </w:p>
    <w:p>
      <w:pPr>
        <w:pStyle w:val="ListNumber"/>
        <w:spacing w:after="20"/>
      </w:pPr>
      <w:r>
        <w:t>8. Student Worksheets and Templates</w:t>
      </w:r>
    </w:p>
    <w:p>
      <w:pPr>
        <w:pStyle w:val="ListNumber"/>
        <w:spacing w:after="20"/>
      </w:pPr>
      <w:r>
        <w:t>9. Glossary</w:t>
      </w:r>
    </w:p>
    <w:p>
      <w:pPr>
        <w:pStyle w:val="ListNumber"/>
        <w:spacing w:after="20"/>
      </w:pPr>
      <w:r>
        <w:t>10. Reference and Source Alignment</w:t>
      </w:r>
    </w:p>
    <w:tbl>
      <w:tblPr>
        <w:tblW w:type="auto" w:w="0"/>
        <w:jc w:val="center"/>
        <w:tblLook w:firstColumn="1" w:firstRow="1" w:lastColumn="0" w:lastRow="0" w:noHBand="0" w:noVBand="1" w:val="04A0"/>
      </w:tblPr>
      <w:tblGrid>
        <w:gridCol w:w="9978"/>
      </w:tblGrid>
      <w:tr>
        <w:tc>
          <w:tcPr>
            <w:tcW w:type="dxa" w:w="9978"/>
            <w:shd w:fill="EAF5FB"/>
            <w:tcBorders>
              <w:top w:sz="8" w:val="single" w:color="00A3E0"/>
              <w:left w:sz="8" w:val="single" w:color="00A3E0"/>
              <w:bottom w:sz="8" w:val="single" w:color="00A3E0"/>
              <w:right w:sz="8" w:val="single" w:color="00A3E0"/>
            </w:tcBorders>
            <w:vAlign w:val="center"/>
          </w:tcPr>
          <w:p>
            <w:pPr>
              <w:spacing w:after="40"/>
            </w:pPr>
            <w:r>
              <w:rPr>
                <w:b/>
                <w:color w:val="1F4E79"/>
                <w:sz w:val="20"/>
              </w:rPr>
              <w:t>Course structure summary</w:t>
            </w:r>
          </w:p>
          <w:p>
            <w:pPr>
              <w:spacing w:after="60"/>
            </w:pPr>
            <w:r>
              <w:rPr>
                <w:sz w:val="18"/>
              </w:rPr>
              <w:t>CESE323 is organised into 12 modules: Module 00 for orientation, Modules 01-05 for core strategy and architecture, Modules 06-09 for workload protection, Module 10 for hands-on scenarios, and Module 11 for the capstone roadmap.</w:t>
            </w:r>
          </w:p>
        </w:tc>
      </w:tr>
    </w:tbl>
    <w:p/>
    <w:p>
      <w:r>
        <w:br w:type="page"/>
      </w:r>
    </w:p>
    <w:p>
      <w:pPr>
        <w:pStyle w:val="Heading1"/>
      </w:pPr>
      <w:r>
        <w:t>1. Course Overview</w:t>
      </w:r>
    </w:p>
    <w:p>
      <w:r>
        <w:t>CESE323 ERC1.0 - Cloud Security Envisioning &amp; Strategy is a practical cloud security course that helps learners move from security strategy into Microsoft Defender for Cloud posture management, workload protection decision-making, and remediation planning. The course is designed to support both instructor-led delivery and a self-paced GitHub-accessible version.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Course attribute</w:t>
            </w:r>
          </w:p>
        </w:tc>
        <w:tc>
          <w:tcPr>
            <w:tcW w:type="dxa" w:w="6803"/>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Description</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8"/>
              </w:rPr>
              <w:t>Course goal</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Help learners define cloud security priorities, understand Microsoft cloud security architecture, assess posture, select workload protections, and produce a practical remediation roadmap.</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8"/>
              </w:rPr>
              <w:t>Core platform focus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Microsoft Defender for Cloud, Microsoft Entra, Microsoft Defender XDR, Azure Policy, and selected workload protection plans.</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8"/>
              </w:rPr>
              <w:t>Practical focus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Posture review, configuration readiness, workload protection selection, scenario analysis, and 30-day remediation planning.</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8"/>
              </w:rPr>
              <w:t>Primary outputs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Security goals worksheet, security stack map, posture review checklist, configuration readiness checklist, workload protection matrix, scenario reviews, and capstone remediation roadmap.</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8"/>
              </w:rPr>
              <w:t>Recommended delivery pattern</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All 12 modules for self-paced learning; Modules 06-09 can be treated as selectable workload modules during the one-day instructor-led workshop.</w:t>
            </w:r>
          </w:p>
        </w:tc>
      </w:tr>
    </w:tbl>
    <w:p>
      <w:pPr>
        <w:pStyle w:val="Heading2"/>
      </w:pPr>
      <w:r>
        <w:t>1.1 Workshop Objectives</w:t>
      </w:r>
    </w:p>
    <w:p>
      <w:pPr>
        <w:pStyle w:val="ListBullet"/>
        <w:spacing w:after="20"/>
      </w:pPr>
      <w:r>
        <w:t>Strategic alignment: define security goals and prioritise risk mitigation based on organisational needs.</w:t>
      </w:r>
    </w:p>
    <w:p>
      <w:pPr>
        <w:pStyle w:val="ListBullet"/>
        <w:spacing w:after="20"/>
      </w:pPr>
      <w:r>
        <w:t>Unified visibility: gain a comprehensive view of cloud security posture through Microsoft security services.</w:t>
      </w:r>
    </w:p>
    <w:p>
      <w:pPr>
        <w:pStyle w:val="ListBullet"/>
        <w:spacing w:after="20"/>
      </w:pPr>
      <w:r>
        <w:t>Threat reduction: identify and remediate misconfigurations, over-privileged identities, and attack paths.</w:t>
      </w:r>
    </w:p>
    <w:p>
      <w:pPr>
        <w:pStyle w:val="ListBullet"/>
        <w:spacing w:after="20"/>
      </w:pPr>
      <w:r>
        <w:t>Workload hardening: understand specialised protection for storage, containers, application services, and AI workloads.</w:t>
      </w:r>
    </w:p>
    <w:p>
      <w:pPr>
        <w:pStyle w:val="ListBullet"/>
        <w:spacing w:after="20"/>
      </w:pPr>
      <w:r>
        <w:t>Operational readiness: convert strategy into practical configuration, review, and remediation planning.</w:t>
      </w:r>
    </w:p>
    <w:p>
      <w:pPr>
        <w:pStyle w:val="Heading2"/>
      </w:pPr>
      <w:r>
        <w:t>1.2 Audience</w:t>
      </w:r>
    </w:p>
    <w:p>
      <w:pPr>
        <w:pStyle w:val="ListBullet"/>
        <w:spacing w:after="20"/>
      </w:pPr>
      <w:r>
        <w:t>Security leaders and technical decision makers responsible for cloud security strategy.</w:t>
      </w:r>
    </w:p>
    <w:p>
      <w:pPr>
        <w:pStyle w:val="ListBullet"/>
        <w:spacing w:after="20"/>
      </w:pPr>
      <w:r>
        <w:t>Cloud administrators and engineers responsible for Azure security configuration.</w:t>
      </w:r>
    </w:p>
    <w:p>
      <w:pPr>
        <w:pStyle w:val="ListBullet"/>
        <w:spacing w:after="20"/>
      </w:pPr>
      <w:r>
        <w:t>Security operations analysts who need to understand posture, incidents, and prioritised remediation.</w:t>
      </w:r>
    </w:p>
    <w:p>
      <w:pPr>
        <w:pStyle w:val="ListBullet"/>
        <w:spacing w:after="20"/>
      </w:pPr>
      <w:r>
        <w:t>Solution architects who design secure cloud, hybrid, multicloud, and AI-enabled solutions.</w:t>
      </w:r>
    </w:p>
    <w:p>
      <w:pPr>
        <w:pStyle w:val="ListBullet"/>
        <w:spacing w:after="20"/>
      </w:pPr>
      <w:r>
        <w:t>Technical trainers or mentors supporting Microsoft security adoption and customer enablement.</w:t>
      </w:r>
    </w:p>
    <w:p>
      <w:r>
        <w:br w:type="page"/>
      </w:r>
    </w:p>
    <w:p>
      <w:pPr>
        <w:pStyle w:val="Heading2"/>
      </w:pPr>
      <w:r>
        <w:t>1.3 Recommended Baseline Knowledge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Area</w:t>
            </w:r>
          </w:p>
        </w:tc>
        <w:tc>
          <w:tcPr>
            <w:tcW w:type="dxa" w:w="6803"/>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Expected baseline</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7"/>
              </w:rPr>
              <w:t>Cloud fundamentals</w:t>
            </w:r>
          </w:p>
        </w:tc>
        <w:tc>
          <w:tcPr>
            <w:tcW w:type="dxa" w:w="6803"/>
            <w:vAlign w:val="top"/>
            <w:tcBorders>
              <w:top w:sz="4" w:val="single" w:color="D9E2EC"/>
              <w:left w:sz="4" w:val="single" w:color="D9E2EC"/>
              <w:bottom w:sz="4" w:val="single" w:color="D9E2EC"/>
              <w:right w:sz="4" w:val="single" w:color="D9E2EC"/>
            </w:tcBorders>
          </w:tcPr>
          <w:p>
            <w:pPr>
              <w:spacing w:after="60"/>
            </w:pPr>
            <w:r>
              <w:rPr>
                <w:sz w:val="17"/>
              </w:rPr>
              <w:t>Azure subscriptions, resource groups, regions, resources, identity, billing, and RBAC.</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7"/>
              </w:rPr>
              <w:t>Security fundamentals</w:t>
            </w:r>
          </w:p>
        </w:tc>
        <w:tc>
          <w:tcPr>
            <w:tcW w:type="dxa" w:w="6803"/>
            <w:vAlign w:val="top"/>
            <w:tcBorders>
              <w:top w:sz="4" w:val="single" w:color="D9E2EC"/>
              <w:left w:sz="4" w:val="single" w:color="D9E2EC"/>
              <w:bottom w:sz="4" w:val="single" w:color="D9E2EC"/>
              <w:right w:sz="4" w:val="single" w:color="D9E2EC"/>
            </w:tcBorders>
          </w:tcPr>
          <w:p>
            <w:pPr>
              <w:spacing w:after="60"/>
            </w:pPr>
            <w:r>
              <w:rPr>
                <w:sz w:val="17"/>
              </w:rPr>
              <w:t>Shared responsibility, Zero Trust, defence-in-depth, identity as control plane, and common cloud misconfigurations.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7"/>
              </w:rPr>
              <w:t>Microsoft Entra ID</w:t>
            </w:r>
          </w:p>
        </w:tc>
        <w:tc>
          <w:tcPr>
            <w:tcW w:type="dxa" w:w="6803"/>
            <w:vAlign w:val="top"/>
            <w:tcBorders>
              <w:top w:sz="4" w:val="single" w:color="D9E2EC"/>
              <w:left w:sz="4" w:val="single" w:color="D9E2EC"/>
              <w:bottom w:sz="4" w:val="single" w:color="D9E2EC"/>
              <w:right w:sz="4" w:val="single" w:color="D9E2EC"/>
            </w:tcBorders>
          </w:tcPr>
          <w:p>
            <w:pPr>
              <w:spacing w:after="60"/>
            </w:pPr>
            <w:r>
              <w:rPr>
                <w:sz w:val="17"/>
              </w:rPr>
              <w:t>Users, groups, roles, MFA, Conditional Access basics, access management, and identity governance concepts.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7"/>
              </w:rPr>
              <w:t>Microsoft Defender for Cloud</w:t>
            </w:r>
          </w:p>
        </w:tc>
        <w:tc>
          <w:tcPr>
            <w:tcW w:type="dxa" w:w="6803"/>
            <w:vAlign w:val="top"/>
            <w:tcBorders>
              <w:top w:sz="4" w:val="single" w:color="D9E2EC"/>
              <w:left w:sz="4" w:val="single" w:color="D9E2EC"/>
              <w:bottom w:sz="4" w:val="single" w:color="D9E2EC"/>
              <w:right w:sz="4" w:val="single" w:color="D9E2EC"/>
            </w:tcBorders>
          </w:tcPr>
          <w:p>
            <w:pPr>
              <w:spacing w:after="60"/>
            </w:pPr>
            <w:r>
              <w:rPr>
                <w:sz w:val="17"/>
              </w:rPr>
              <w:t>Navigation, Secure Score, recommendations, regulatory compliance, workload protection plans, and posture management.</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7"/>
              </w:rPr>
              <w:t>Workload awareness</w:t>
            </w:r>
          </w:p>
        </w:tc>
        <w:tc>
          <w:tcPr>
            <w:tcW w:type="dxa" w:w="6803"/>
            <w:vAlign w:val="top"/>
            <w:tcBorders>
              <w:top w:sz="4" w:val="single" w:color="D9E2EC"/>
              <w:left w:sz="4" w:val="single" w:color="D9E2EC"/>
              <w:bottom w:sz="4" w:val="single" w:color="D9E2EC"/>
              <w:right w:sz="4" w:val="single" w:color="D9E2EC"/>
            </w:tcBorders>
          </w:tcPr>
          <w:p>
            <w:pPr>
              <w:spacing w:after="60"/>
            </w:pPr>
            <w:r>
              <w:rPr>
                <w:sz w:val="17"/>
              </w:rPr>
              <w:t>Basic awareness of storage accounts, App Service, VMs, containers/AKS, and AI services where relevant.</w:t>
            </w:r>
          </w:p>
        </w:tc>
      </w:tr>
    </w:tbl>
    <w:p>
      <w:r>
        <w:br w:type="page"/>
      </w:r>
    </w:p>
    <w:p>
      <w:pPr>
        <w:pStyle w:val="Heading1"/>
      </w:pPr>
      <w:r>
        <w:t>2. How to Use This Manual</w:t>
      </w:r>
    </w:p>
    <w:p>
      <w:r>
        <w:t>Use this manual as the central learner guide for the course. It explains what to do before the course, how to work through each module, what evidence to capture, and how to complete the capstone roadmap.</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Course phase</w:t>
            </w:r>
          </w:p>
        </w:tc>
        <w:tc>
          <w:tcPr>
            <w:tcW w:type="dxa" w:w="6803"/>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Student action</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Before class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Confirm access, complete pre-course readiness checks, review prerequisite concepts, and identify any lab access issues.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During class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Follow each module guide, complete activities, capture evidence, and record blockers or assumptions.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After class</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Finalise the capstone roadmap, clean up lab resources if applicable, and identify next steps for operational implementation.</w:t>
            </w:r>
          </w:p>
        </w:tc>
      </w:tr>
    </w:tbl>
    <w:tbl>
      <w:tblPr>
        <w:tblW w:type="auto" w:w="0"/>
        <w:jc w:val="center"/>
        <w:tblLook w:firstColumn="1" w:firstRow="1" w:lastColumn="0" w:lastRow="0" w:noHBand="0" w:noVBand="1" w:val="04A0"/>
      </w:tblPr>
      <w:tblGrid>
        <w:gridCol w:w="9978"/>
      </w:tblGrid>
      <w:tr>
        <w:tc>
          <w:tcPr>
            <w:tcW w:type="dxa" w:w="9978"/>
            <w:shd w:fill="FFF8E8"/>
            <w:tcBorders>
              <w:top w:sz="8" w:val="single" w:color="00A3E0"/>
              <w:left w:sz="8" w:val="single" w:color="00A3E0"/>
              <w:bottom w:sz="8" w:val="single" w:color="00A3E0"/>
              <w:right w:sz="8" w:val="single" w:color="00A3E0"/>
            </w:tcBorders>
            <w:vAlign w:val="center"/>
          </w:tcPr>
          <w:p>
            <w:pPr>
              <w:spacing w:after="40"/>
            </w:pPr>
            <w:r>
              <w:rPr>
                <w:b/>
                <w:color w:val="1F4E79"/>
                <w:sz w:val="20"/>
              </w:rPr>
              <w:t>Important</w:t>
            </w:r>
          </w:p>
          <w:p>
            <w:pPr>
              <w:spacing w:after="60"/>
            </w:pPr>
            <w:r>
              <w:rPr>
                <w:sz w:val="18"/>
              </w:rPr>
              <w:t>Do not use production data, customer confidential data, HR/legal/financial data, secrets, credentials, or sensitive prompts in labs. Use only approved test data and approved lab subscriptions.</w:t>
            </w:r>
          </w:p>
        </w:tc>
      </w:tr>
    </w:tbl>
    <w:p/>
    <w:p>
      <w:pPr>
        <w:pStyle w:val="Heading1"/>
      </w:pPr>
      <w:r>
        <w:t>3. Student Readiness and Lab Safety</w:t>
      </w:r>
    </w:p>
    <w:p>
      <w:r>
        <w:t>CESE323 includes practical review, configuration readiness, workload protection planning, and scenario-based remediation. Students must be able to access the required portals and understand whether their delivery track is using a sandbox, demo environment, shared training subscription, or live customer subscription.</w:t>
      </w:r>
    </w:p>
    <w:p>
      <w:pPr>
        <w:pStyle w:val="Heading2"/>
      </w:pPr>
      <w:r>
        <w:t>3.1 Required Access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Requirement</w:t>
            </w:r>
          </w:p>
        </w:tc>
        <w:tc>
          <w:tcPr>
            <w:tcW w:type="dxa" w:w="6520"/>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Why it matters</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Microsoft Learn account</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Used for learning modules, progress tracking, and self-directed study.</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Azure portal access</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Required for subscriptions, resources, Defender for Cloud, Entra, and Cloud Shell where used.</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Microsoft Defender portal access</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Required for unified security operations, incidents, alerts, and Defender XDR views where included.</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Named user account</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Supports auditability and avoids shared administrator account risk.</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MFA configured and tested</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Required for secure access and realistic identity governance practice.</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Correct tenant selected</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Students must know which Microsoft Entra tenant or directory is used for labs.</w:t>
            </w:r>
          </w:p>
        </w:tc>
      </w:tr>
      <w:tr>
        <w:tc>
          <w:tcPr>
            <w:tcW w:type="dxa" w:w="2551"/>
            <w:vAlign w:val="top"/>
            <w:tcBorders>
              <w:top w:sz="4" w:val="single" w:color="D9E2EC"/>
              <w:left w:sz="4" w:val="single" w:color="D9E2EC"/>
              <w:bottom w:sz="4" w:val="single" w:color="D9E2EC"/>
              <w:right w:sz="4" w:val="single" w:color="D9E2EC"/>
            </w:tcBorders>
          </w:tcPr>
          <w:p>
            <w:pPr>
              <w:spacing w:after="60"/>
            </w:pPr>
            <w:r>
              <w:rPr>
                <w:sz w:val="17"/>
              </w:rPr>
              <w:t>Modern browser</w:t>
            </w:r>
          </w:p>
        </w:tc>
        <w:tc>
          <w:tcPr>
            <w:tcW w:type="dxa" w:w="6520"/>
            <w:vAlign w:val="top"/>
            <w:tcBorders>
              <w:top w:sz="4" w:val="single" w:color="D9E2EC"/>
              <w:left w:sz="4" w:val="single" w:color="D9E2EC"/>
              <w:bottom w:sz="4" w:val="single" w:color="D9E2EC"/>
              <w:right w:sz="4" w:val="single" w:color="D9E2EC"/>
            </w:tcBorders>
          </w:tcPr>
          <w:p>
            <w:pPr>
              <w:spacing w:after="60"/>
            </w:pPr>
            <w:r>
              <w:rPr>
                <w:sz w:val="17"/>
              </w:rPr>
              <w:t>Microsoft Edge is recommended; Chrome is acceptable for most portal-based work.</w:t>
            </w:r>
          </w:p>
        </w:tc>
      </w:tr>
    </w:tbl>
    <w:p>
      <w:pPr>
        <w:pStyle w:val="Heading2"/>
      </w:pPr>
      <w:r>
        <w:t>3.2 Recommended Role Model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Role</w:t>
            </w:r>
          </w:p>
        </w:tc>
        <w:tc>
          <w:tcPr>
            <w:tcW w:type="dxa" w:w="6803"/>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Recommended use</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Reader</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Observation, posture review, recommendations, Secure Score, inventory, and compliance review.</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Contributor</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Creating lab resources and applying selected remediation tasks within scoped resource groups.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Security Admin</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Enabling/disabling Defender plans and managing selected security policies where required.</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Owner</w:t>
            </w:r>
          </w:p>
        </w:tc>
        <w:tc>
          <w:tcPr>
            <w:tcW w:type="dxa" w:w="6803"/>
            <w:vAlign w:val="top"/>
            <w:tcBorders>
              <w:top w:sz="4" w:val="single" w:color="D9E2EC"/>
              <w:left w:sz="4" w:val="single" w:color="D9E2EC"/>
              <w:bottom w:sz="4" w:val="single" w:color="D9E2EC"/>
              <w:right w:sz="4" w:val="single" w:color="D9E2EC"/>
            </w:tcBorders>
          </w:tcPr>
          <w:p>
            <w:pPr>
              <w:spacing w:after="60"/>
            </w:pPr>
            <w:r>
              <w:rPr>
                <w:sz w:val="18"/>
              </w:rPr>
              <w:t>Reserved for instructors or lab leads when full plan capabilities or subscription-level changes are required.</w:t>
            </w:r>
          </w:p>
        </w:tc>
      </w:tr>
    </w:tbl>
    <w:tbl>
      <w:tblPr>
        <w:tblW w:type="auto" w:w="0"/>
        <w:jc w:val="center"/>
        <w:tblLook w:firstColumn="1" w:firstRow="1" w:lastColumn="0" w:lastRow="0" w:noHBand="0" w:noVBand="1" w:val="04A0"/>
      </w:tblPr>
      <w:tblGrid>
        <w:gridCol w:w="9978"/>
      </w:tblGrid>
      <w:tr>
        <w:tc>
          <w:tcPr>
            <w:tcW w:type="dxa" w:w="9978"/>
            <w:shd w:fill="FFF8E8"/>
            <w:tcBorders>
              <w:top w:sz="8" w:val="single" w:color="00A3E0"/>
              <w:left w:sz="8" w:val="single" w:color="00A3E0"/>
              <w:bottom w:sz="8" w:val="single" w:color="00A3E0"/>
              <w:right w:sz="8" w:val="single" w:color="00A3E0"/>
            </w:tcBorders>
            <w:vAlign w:val="center"/>
          </w:tcPr>
          <w:p>
            <w:pPr>
              <w:spacing w:after="40"/>
            </w:pPr>
            <w:r>
              <w:rPr>
                <w:b/>
                <w:color w:val="1F4E79"/>
                <w:sz w:val="20"/>
              </w:rPr>
              <w:t>Least privilege rule</w:t>
            </w:r>
          </w:p>
          <w:p>
            <w:pPr>
              <w:spacing w:after="60"/>
            </w:pPr>
            <w:r>
              <w:rPr>
                <w:sz w:val="18"/>
              </w:rPr>
              <w:t>Do not request Global Administrator access for routine student labs. Use least-privilege roles and scoped resource groups wherever possible. Production or live customer subscriptions require explicit written approval before configuration changes are made.</w:t>
            </w:r>
          </w:p>
        </w:tc>
      </w:tr>
    </w:tbl>
    <w:p/>
    <w:p>
      <w:pPr>
        <w:pStyle w:val="Heading2"/>
      </w:pPr>
      <w:r>
        <w:t>3.3 Lab Safety Rules</w:t>
      </w:r>
    </w:p>
    <w:p>
      <w:pPr>
        <w:pStyle w:val="ListBullet"/>
        <w:spacing w:after="20"/>
      </w:pPr>
      <w:r>
        <w:t>Use only approved lab subscriptions, resource groups, and datasets.</w:t>
      </w:r>
    </w:p>
    <w:p>
      <w:pPr>
        <w:pStyle w:val="ListBullet"/>
        <w:spacing w:after="20"/>
      </w:pPr>
      <w:r>
        <w:t>Do not upload real customer data, personal data, financial records, legal records, HR files, passwords, secrets, keys, or confidential prompts.</w:t>
      </w:r>
    </w:p>
    <w:p>
      <w:pPr>
        <w:pStyle w:val="ListBullet"/>
        <w:spacing w:after="20"/>
      </w:pPr>
      <w:r>
        <w:t>Before enabling paid Defender plans, confirm cost approval and scope.</w:t>
      </w:r>
    </w:p>
    <w:p>
      <w:pPr>
        <w:pStyle w:val="ListBullet"/>
        <w:spacing w:after="20"/>
      </w:pPr>
      <w:r>
        <w:t>Capture screenshots only where allowed by the instructor and customer policy.</w:t>
      </w:r>
    </w:p>
    <w:p>
      <w:pPr>
        <w:pStyle w:val="ListBullet"/>
        <w:spacing w:after="20"/>
      </w:pPr>
      <w:r>
        <w:t>Clean up lab resources at the end of the activity or when instructed.</w:t>
      </w:r>
    </w:p>
    <w:p>
      <w:pPr>
        <w:pStyle w:val="ListBullet"/>
        <w:spacing w:after="20"/>
      </w:pPr>
      <w:r>
        <w:t>Record assumptions, blockers, role limitations, and unavailable services in the worksheet instead of bypassing governance controls.</w:t>
      </w:r>
    </w:p>
    <w:p>
      <w:pPr>
        <w:pStyle w:val="Heading2"/>
      </w:pPr>
      <w:r>
        <w:t>3.4 Local Machine Checklist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Student machine requirement</w:t>
            </w:r>
          </w:p>
        </w:tc>
        <w:tc>
          <w:tcPr>
            <w:tcW w:type="dxa" w:w="6236"/>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Details</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Laptop or desktop</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t>Mobile-only participation is not recommended.</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Stable internet</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t>Required for portal-based labs and Microsoft Learn access.</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Modern browser</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t>Microsoft Edge recommended; Chrome acceptable.</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PDF reader</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t>Required for guides and printable worksheets.</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Screenshot tool</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t>Required for evidence capture where assessment requires screenshots.</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Optional tools</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t>PowerShell 7, Azure CLI, Git, VS Code, kubectl, and Docker Desktop only if your lab track requires them.</w:t>
            </w:r>
          </w:p>
        </w:tc>
      </w:tr>
    </w:tbl>
    <w:p>
      <w:r>
        <w:br w:type="page"/>
      </w:r>
    </w:p>
    <w:p>
      <w:pPr>
        <w:pStyle w:val="Heading1"/>
      </w:pPr>
      <w:r>
        <w:t>4. Course Module Structure</w:t>
      </w:r>
    </w:p>
    <w:p>
      <w:r>
        <w:t>The learner-facing course is structured as 12 modules. The four workload protection modules can be delivered as a full self-paced sequence or selected as two focus areas in a one-day instructor-led workshop.</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794"/>
            <w:vAlign w:val="top"/>
            <w:tcBorders>
              <w:top w:sz="4" w:val="single" w:color="D9E2EC"/>
              <w:left w:sz="4" w:val="single" w:color="D9E2EC"/>
              <w:bottom w:sz="4" w:val="single" w:color="D9E2EC"/>
              <w:right w:sz="4" w:val="single" w:color="D9E2EC"/>
            </w:tcBorders>
            <w:shd w:fill="1F4E79"/>
          </w:tcPr>
          <w:p>
            <w:pPr>
              <w:spacing w:after="60"/>
            </w:pPr>
            <w:r>
              <w:rPr>
                <w:b/>
                <w:color w:val="FFFFFF"/>
                <w:sz w:val="14"/>
              </w:rPr>
              <w:t>Module</w:t>
            </w:r>
          </w:p>
        </w:tc>
        <w:tc>
          <w:tcPr>
            <w:tcW w:type="dxa" w:w="2381"/>
            <w:vAlign w:val="top"/>
            <w:tcBorders>
              <w:top w:sz="4" w:val="single" w:color="D9E2EC"/>
              <w:left w:sz="4" w:val="single" w:color="D9E2EC"/>
              <w:bottom w:sz="4" w:val="single" w:color="D9E2EC"/>
              <w:right w:sz="4" w:val="single" w:color="D9E2EC"/>
            </w:tcBorders>
            <w:shd w:fill="1F4E79"/>
          </w:tcPr>
          <w:p>
            <w:pPr>
              <w:spacing w:after="60"/>
            </w:pPr>
            <w:r>
              <w:rPr>
                <w:b/>
                <w:color w:val="FFFFFF"/>
                <w:sz w:val="14"/>
              </w:rPr>
              <w:t>Title</w:t>
            </w:r>
          </w:p>
        </w:tc>
        <w:tc>
          <w:tcPr>
            <w:tcW w:type="dxa" w:w="3231"/>
            <w:vAlign w:val="top"/>
            <w:tcBorders>
              <w:top w:sz="4" w:val="single" w:color="D9E2EC"/>
              <w:left w:sz="4" w:val="single" w:color="D9E2EC"/>
              <w:bottom w:sz="4" w:val="single" w:color="D9E2EC"/>
              <w:right w:sz="4" w:val="single" w:color="D9E2EC"/>
            </w:tcBorders>
            <w:shd w:fill="1F4E79"/>
          </w:tcPr>
          <w:p>
            <w:pPr>
              <w:spacing w:after="60"/>
            </w:pPr>
            <w:r>
              <w:rPr>
                <w:b/>
                <w:color w:val="FFFFFF"/>
                <w:sz w:val="14"/>
              </w:rPr>
              <w:t>Purpose</w:t>
            </w:r>
          </w:p>
        </w:tc>
        <w:tc>
          <w:tcPr>
            <w:tcW w:type="dxa" w:w="1928"/>
            <w:vAlign w:val="top"/>
            <w:tcBorders>
              <w:top w:sz="4" w:val="single" w:color="D9E2EC"/>
              <w:left w:sz="4" w:val="single" w:color="D9E2EC"/>
              <w:bottom w:sz="4" w:val="single" w:color="D9E2EC"/>
              <w:right w:sz="4" w:val="single" w:color="D9E2EC"/>
            </w:tcBorders>
            <w:shd w:fill="1F4E79"/>
          </w:tcPr>
          <w:p>
            <w:pPr>
              <w:spacing w:after="60"/>
            </w:pPr>
            <w:r>
              <w:rPr>
                <w:b/>
                <w:color w:val="FFFFFF"/>
                <w:sz w:val="14"/>
              </w:rPr>
              <w:t>Output</w:t>
            </w:r>
          </w:p>
        </w:tc>
        <w:tc>
          <w:tcPr>
            <w:tcW w:type="dxa" w:w="1361"/>
            <w:vAlign w:val="top"/>
            <w:tcBorders>
              <w:top w:sz="4" w:val="single" w:color="D9E2EC"/>
              <w:left w:sz="4" w:val="single" w:color="D9E2EC"/>
              <w:bottom w:sz="4" w:val="single" w:color="D9E2EC"/>
              <w:right w:sz="4" w:val="single" w:color="D9E2EC"/>
            </w:tcBorders>
            <w:shd w:fill="1F4E79"/>
          </w:tcPr>
          <w:p>
            <w:pPr>
              <w:spacing w:after="60"/>
            </w:pPr>
            <w:r>
              <w:rPr>
                <w:b/>
                <w:color w:val="FFFFFF"/>
                <w:sz w:val="14"/>
              </w:rPr>
              <w:t>Classification</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00</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Course Orientation</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Introduce the course structure, audience, tools, and expectations.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Learner understands how to navigate the course.</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Orientation</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01</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Cloud Security Strategy &amp; Governance</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Align security goals to business risk and compliance requirements.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Security goals worksheet.</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Core</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02</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Microsoft Cloud Security Architecture</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Explain Microsoft’s unified security ecosystem.</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Microsoft security stack map.</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Core</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03</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Cloud Security Posture Management</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Introduce CSPM, secure score, recommendations, compliance, and attack paths.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Posture review checklist.</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Core</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04</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Defender for Cloud Configuration Control</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Cover Defender plans, policies, onboarding, and governance controls.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Configuration readiness checklist.</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Core</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05</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Workload Protection Decision Matrix</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Help learners select priority workload protection areas.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Workload protection matrix.</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Core</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06</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Defender for Storage</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Explore storage protection, malware upload risks, and suspicious access.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Storage protection scenario review.</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Workload Protection</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07</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Defender for Containers</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Explore AKS, Kubernetes, image risk, and runtime protection.</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Container security scenario review.</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Workload Protection</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08</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Defender for App Service</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Explore web app and cloud-native application protection.</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App Service protection scenario review.</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Workload Protection</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09</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Defender for AI Services</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Explore GenAI security, prompt injection, data leakage, and AI monitoring.</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AI security risk review.</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Workload Protection</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10</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Hands-On Security Scenarios</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Apply course concepts to realistic security incidents.</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Remediation planning worksheet.</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Applied Practice</w:t>
            </w:r>
          </w:p>
        </w:tc>
      </w:tr>
      <w:tr>
        <w:tc>
          <w:tcPr>
            <w:tcW w:type="dxa" w:w="794"/>
            <w:vAlign w:val="top"/>
            <w:tcBorders>
              <w:top w:sz="4" w:val="single" w:color="D9E2EC"/>
              <w:left w:sz="4" w:val="single" w:color="D9E2EC"/>
              <w:bottom w:sz="4" w:val="single" w:color="D9E2EC"/>
              <w:right w:sz="4" w:val="single" w:color="D9E2EC"/>
            </w:tcBorders>
          </w:tcPr>
          <w:p>
            <w:pPr>
              <w:spacing w:after="60"/>
            </w:pPr>
            <w:r>
              <w:rPr>
                <w:sz w:val="14"/>
              </w:rPr>
              <w:t>11</w:t>
            </w:r>
          </w:p>
        </w:tc>
        <w:tc>
          <w:tcPr>
            <w:tcW w:type="dxa" w:w="2381"/>
            <w:vAlign w:val="top"/>
            <w:tcBorders>
              <w:top w:sz="4" w:val="single" w:color="D9E2EC"/>
              <w:left w:sz="4" w:val="single" w:color="D9E2EC"/>
              <w:bottom w:sz="4" w:val="single" w:color="D9E2EC"/>
              <w:right w:sz="4" w:val="single" w:color="D9E2EC"/>
            </w:tcBorders>
          </w:tcPr>
          <w:p>
            <w:pPr>
              <w:spacing w:after="60"/>
            </w:pPr>
            <w:r>
              <w:rPr>
                <w:sz w:val="14"/>
              </w:rPr>
              <w:t>Capstone Roadmap</w:t>
            </w:r>
          </w:p>
        </w:tc>
        <w:tc>
          <w:tcPr>
            <w:tcW w:type="dxa" w:w="3231"/>
            <w:vAlign w:val="top"/>
            <w:tcBorders>
              <w:top w:sz="4" w:val="single" w:color="D9E2EC"/>
              <w:left w:sz="4" w:val="single" w:color="D9E2EC"/>
              <w:bottom w:sz="4" w:val="single" w:color="D9E2EC"/>
              <w:right w:sz="4" w:val="single" w:color="D9E2EC"/>
            </w:tcBorders>
          </w:tcPr>
          <w:p>
            <w:pPr>
              <w:spacing w:after="60"/>
            </w:pPr>
            <w:r>
              <w:rPr>
                <w:sz w:val="14"/>
              </w:rPr>
              <w:t>Build a practical 30-day security improvement plan.</w:t>
            </w:r>
          </w:p>
        </w:tc>
        <w:tc>
          <w:tcPr>
            <w:tcW w:type="dxa" w:w="1928"/>
            <w:vAlign w:val="top"/>
            <w:tcBorders>
              <w:top w:sz="4" w:val="single" w:color="D9E2EC"/>
              <w:left w:sz="4" w:val="single" w:color="D9E2EC"/>
              <w:bottom w:sz="4" w:val="single" w:color="D9E2EC"/>
              <w:right w:sz="4" w:val="single" w:color="D9E2EC"/>
            </w:tcBorders>
          </w:tcPr>
          <w:p>
            <w:pPr>
              <w:spacing w:after="60"/>
            </w:pPr>
            <w:r>
              <w:rPr>
                <w:sz w:val="14"/>
              </w:rPr>
              <w:t>Final remediation roadmap.</w:t>
            </w:r>
          </w:p>
        </w:tc>
        <w:tc>
          <w:tcPr>
            <w:tcW w:type="dxa" w:w="1361"/>
            <w:vAlign w:val="top"/>
            <w:tcBorders>
              <w:top w:sz="4" w:val="single" w:color="D9E2EC"/>
              <w:left w:sz="4" w:val="single" w:color="D9E2EC"/>
              <w:bottom w:sz="4" w:val="single" w:color="D9E2EC"/>
              <w:right w:sz="4" w:val="single" w:color="D9E2EC"/>
            </w:tcBorders>
          </w:tcPr>
          <w:p>
            <w:pPr>
              <w:spacing w:after="60"/>
            </w:pPr>
            <w:r>
              <w:rPr>
                <w:sz w:val="14"/>
              </w:rPr>
              <w:t>Capstone</w:t>
            </w:r>
          </w:p>
        </w:tc>
      </w:tr>
    </w:tbl>
    <w:p>
      <w:r>
        <w:br w:type="page"/>
      </w:r>
    </w:p>
    <w:p>
      <w:pPr>
        <w:pStyle w:val="Heading2"/>
      </w:pPr>
      <w:r>
        <w:t>4.1 Learning Path View</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Stage</w:t>
            </w:r>
          </w:p>
        </w:tc>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Modules</w:t>
            </w:r>
          </w:p>
        </w:tc>
        <w:tc>
          <w:tcPr>
            <w:tcW w:type="dxa" w:w="5216"/>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Description</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Orientation</w:t>
            </w:r>
          </w:p>
        </w:tc>
        <w:tc>
          <w:tcPr>
            <w:tcW w:type="dxa" w:w="1701"/>
            <w:vAlign w:val="top"/>
            <w:tcBorders>
              <w:top w:sz="4" w:val="single" w:color="D9E2EC"/>
              <w:left w:sz="4" w:val="single" w:color="D9E2EC"/>
              <w:bottom w:sz="4" w:val="single" w:color="D9E2EC"/>
              <w:right w:sz="4" w:val="single" w:color="D9E2EC"/>
            </w:tcBorders>
          </w:tcPr>
          <w:p>
            <w:pPr>
              <w:spacing w:after="60"/>
            </w:pPr>
            <w:r>
              <w:rPr>
                <w:sz w:val="18"/>
              </w:rPr>
              <w:t>00</w:t>
            </w:r>
          </w:p>
        </w:tc>
        <w:tc>
          <w:tcPr>
            <w:tcW w:type="dxa" w:w="5216"/>
            <w:vAlign w:val="top"/>
            <w:tcBorders>
              <w:top w:sz="4" w:val="single" w:color="D9E2EC"/>
              <w:left w:sz="4" w:val="single" w:color="D9E2EC"/>
              <w:bottom w:sz="4" w:val="single" w:color="D9E2EC"/>
              <w:right w:sz="4" w:val="single" w:color="D9E2EC"/>
            </w:tcBorders>
          </w:tcPr>
          <w:p>
            <w:pPr>
              <w:spacing w:after="60"/>
            </w:pPr>
            <w:r>
              <w:rPr>
                <w:sz w:val="18"/>
              </w:rPr>
              <w:t>Introduce the course, expectations, tools, and navigation.</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Core foundation</w:t>
            </w:r>
          </w:p>
        </w:tc>
        <w:tc>
          <w:tcPr>
            <w:tcW w:type="dxa" w:w="1701"/>
            <w:vAlign w:val="top"/>
            <w:tcBorders>
              <w:top w:sz="4" w:val="single" w:color="D9E2EC"/>
              <w:left w:sz="4" w:val="single" w:color="D9E2EC"/>
              <w:bottom w:sz="4" w:val="single" w:color="D9E2EC"/>
              <w:right w:sz="4" w:val="single" w:color="D9E2EC"/>
            </w:tcBorders>
          </w:tcPr>
          <w:p>
            <w:pPr>
              <w:spacing w:after="60"/>
            </w:pPr>
            <w:r>
              <w:rPr>
                <w:sz w:val="18"/>
              </w:rPr>
              <w:t>01-05</w:t>
            </w:r>
          </w:p>
        </w:tc>
        <w:tc>
          <w:tcPr>
            <w:tcW w:type="dxa" w:w="5216"/>
            <w:vAlign w:val="top"/>
            <w:tcBorders>
              <w:top w:sz="4" w:val="single" w:color="D9E2EC"/>
              <w:left w:sz="4" w:val="single" w:color="D9E2EC"/>
              <w:bottom w:sz="4" w:val="single" w:color="D9E2EC"/>
              <w:right w:sz="4" w:val="single" w:color="D9E2EC"/>
            </w:tcBorders>
          </w:tcPr>
          <w:p>
            <w:pPr>
              <w:spacing w:after="60"/>
            </w:pPr>
            <w:r>
              <w:rPr>
                <w:sz w:val="18"/>
              </w:rPr>
              <w:t>Establish strategy, governance, architecture, posture management, configuration readiness, and workload selection.</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Workload protection</w:t>
            </w:r>
          </w:p>
        </w:tc>
        <w:tc>
          <w:tcPr>
            <w:tcW w:type="dxa" w:w="1701"/>
            <w:vAlign w:val="top"/>
            <w:tcBorders>
              <w:top w:sz="4" w:val="single" w:color="D9E2EC"/>
              <w:left w:sz="4" w:val="single" w:color="D9E2EC"/>
              <w:bottom w:sz="4" w:val="single" w:color="D9E2EC"/>
              <w:right w:sz="4" w:val="single" w:color="D9E2EC"/>
            </w:tcBorders>
          </w:tcPr>
          <w:p>
            <w:pPr>
              <w:spacing w:after="60"/>
            </w:pPr>
            <w:r>
              <w:rPr>
                <w:sz w:val="18"/>
              </w:rPr>
              <w:t>06-09</w:t>
            </w:r>
          </w:p>
        </w:tc>
        <w:tc>
          <w:tcPr>
            <w:tcW w:type="dxa" w:w="5216"/>
            <w:vAlign w:val="top"/>
            <w:tcBorders>
              <w:top w:sz="4" w:val="single" w:color="D9E2EC"/>
              <w:left w:sz="4" w:val="single" w:color="D9E2EC"/>
              <w:bottom w:sz="4" w:val="single" w:color="D9E2EC"/>
              <w:right w:sz="4" w:val="single" w:color="D9E2EC"/>
            </w:tcBorders>
          </w:tcPr>
          <w:p>
            <w:pPr>
              <w:spacing w:after="60"/>
            </w:pPr>
            <w:r>
              <w:rPr>
                <w:sz w:val="18"/>
              </w:rPr>
              <w:t>Explore Defender for Storage, Containers, App Service, and AI Services. In one-day delivery, select two live workload focus areas.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Scenario application</w:t>
            </w:r>
          </w:p>
        </w:tc>
        <w:tc>
          <w:tcPr>
            <w:tcW w:type="dxa" w:w="1701"/>
            <w:vAlign w:val="top"/>
            <w:tcBorders>
              <w:top w:sz="4" w:val="single" w:color="D9E2EC"/>
              <w:left w:sz="4" w:val="single" w:color="D9E2EC"/>
              <w:bottom w:sz="4" w:val="single" w:color="D9E2EC"/>
              <w:right w:sz="4" w:val="single" w:color="D9E2EC"/>
            </w:tcBorders>
          </w:tcPr>
          <w:p>
            <w:pPr>
              <w:spacing w:after="60"/>
            </w:pPr>
            <w:r>
              <w:rPr>
                <w:sz w:val="18"/>
              </w:rPr>
              <w:t>10</w:t>
            </w:r>
          </w:p>
        </w:tc>
        <w:tc>
          <w:tcPr>
            <w:tcW w:type="dxa" w:w="5216"/>
            <w:vAlign w:val="top"/>
            <w:tcBorders>
              <w:top w:sz="4" w:val="single" w:color="D9E2EC"/>
              <w:left w:sz="4" w:val="single" w:color="D9E2EC"/>
              <w:bottom w:sz="4" w:val="single" w:color="D9E2EC"/>
              <w:right w:sz="4" w:val="single" w:color="D9E2EC"/>
            </w:tcBorders>
          </w:tcPr>
          <w:p>
            <w:pPr>
              <w:spacing w:after="60"/>
            </w:pPr>
            <w:r>
              <w:rPr>
                <w:sz w:val="18"/>
              </w:rPr>
              <w:t>Apply concepts to realistic incident and remediation scenarios.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8"/>
              </w:rPr>
              <w:t>Capstone</w:t>
            </w:r>
          </w:p>
        </w:tc>
        <w:tc>
          <w:tcPr>
            <w:tcW w:type="dxa" w:w="1701"/>
            <w:vAlign w:val="top"/>
            <w:tcBorders>
              <w:top w:sz="4" w:val="single" w:color="D9E2EC"/>
              <w:left w:sz="4" w:val="single" w:color="D9E2EC"/>
              <w:bottom w:sz="4" w:val="single" w:color="D9E2EC"/>
              <w:right w:sz="4" w:val="single" w:color="D9E2EC"/>
            </w:tcBorders>
          </w:tcPr>
          <w:p>
            <w:pPr>
              <w:spacing w:after="60"/>
            </w:pPr>
            <w:r>
              <w:rPr>
                <w:sz w:val="18"/>
              </w:rPr>
              <w:t>11</w:t>
            </w:r>
          </w:p>
        </w:tc>
        <w:tc>
          <w:tcPr>
            <w:tcW w:type="dxa" w:w="5216"/>
            <w:vAlign w:val="top"/>
            <w:tcBorders>
              <w:top w:sz="4" w:val="single" w:color="D9E2EC"/>
              <w:left w:sz="4" w:val="single" w:color="D9E2EC"/>
              <w:bottom w:sz="4" w:val="single" w:color="D9E2EC"/>
              <w:right w:sz="4" w:val="single" w:color="D9E2EC"/>
            </w:tcBorders>
          </w:tcPr>
          <w:p>
            <w:pPr>
              <w:spacing w:after="60"/>
            </w:pPr>
            <w:r>
              <w:rPr>
                <w:sz w:val="18"/>
              </w:rPr>
              <w:t>Build the final 30-day cloud security improvement roadmap.</w:t>
            </w:r>
          </w:p>
        </w:tc>
      </w:tr>
    </w:tbl>
    <w:tbl>
      <w:tblPr>
        <w:tblW w:type="auto" w:w="0"/>
        <w:jc w:val="center"/>
        <w:tblLook w:firstColumn="1" w:firstRow="1" w:lastColumn="0" w:lastRow="0" w:noHBand="0" w:noVBand="1" w:val="04A0"/>
      </w:tblPr>
      <w:tblGrid>
        <w:gridCol w:w="9978"/>
      </w:tblGrid>
      <w:tr>
        <w:tc>
          <w:tcPr>
            <w:tcW w:type="dxa" w:w="9978"/>
            <w:shd w:fill="EAF5FB"/>
            <w:tcBorders>
              <w:top w:sz="8" w:val="single" w:color="00A3E0"/>
              <w:left w:sz="8" w:val="single" w:color="00A3E0"/>
              <w:bottom w:sz="8" w:val="single" w:color="00A3E0"/>
              <w:right w:sz="8" w:val="single" w:color="00A3E0"/>
            </w:tcBorders>
            <w:vAlign w:val="center"/>
          </w:tcPr>
          <w:p>
            <w:pPr>
              <w:spacing w:after="40"/>
            </w:pPr>
            <w:r>
              <w:rPr>
                <w:b/>
                <w:color w:val="1F4E79"/>
                <w:sz w:val="20"/>
              </w:rPr>
              <w:t>Instructor-led delivery note</w:t>
            </w:r>
          </w:p>
          <w:p>
            <w:pPr>
              <w:spacing w:after="60"/>
            </w:pPr>
            <w:r>
              <w:rPr>
                <w:sz w:val="18"/>
              </w:rPr>
              <w:t>For a one-day delivery, Modules 06-09 should be treated as selectable workload protection modules. The class should complete the Workload Protection Decision Matrix before choosing the focus areas.</w:t>
            </w:r>
          </w:p>
        </w:tc>
      </w:tr>
    </w:tbl>
    <w:p/>
    <w:p>
      <w:r>
        <w:br w:type="page"/>
      </w:r>
    </w:p>
    <w:p>
      <w:pPr>
        <w:pStyle w:val="Heading1"/>
      </w:pPr>
      <w:r>
        <w:t>5. Module Guides</w:t>
      </w:r>
    </w:p>
    <w:p>
      <w:r>
        <w:t>Each module guide gives the student a clear view of the learning purpose, expected outcomes, key concepts, learning activity, evidence requirements, and reflection prompts.</w:t>
      </w:r>
    </w:p>
    <w:p>
      <w:pPr>
        <w:pStyle w:val="Heading2"/>
      </w:pPr>
      <w:r>
        <w:t>Module 00: Course Orientation</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Orientation | Required output: Learner understands how to navigate the course.</w:t>
            </w:r>
          </w:p>
          <w:p>
            <w:r>
              <w:t>Introduce the course structure, audience, tools, and expectations.</w:t>
            </w:r>
          </w:p>
        </w:tc>
      </w:tr>
    </w:tbl>
    <w:p>
      <w:pPr>
        <w:pStyle w:val="Heading3"/>
      </w:pPr>
      <w:r>
        <w:t>Learning outcomes</w:t>
      </w:r>
    </w:p>
    <w:p>
      <w:pPr>
        <w:pStyle w:val="ListBullet"/>
        <w:spacing w:after="20"/>
      </w:pPr>
      <w:r>
        <w:t>Describe the structure and expected outputs of CESE323.</w:t>
      </w:r>
    </w:p>
    <w:p>
      <w:pPr>
        <w:pStyle w:val="ListBullet"/>
        <w:spacing w:after="20"/>
      </w:pPr>
      <w:r>
        <w:t>Identify the portals, files, worksheets, and collaboration tools used during the course.</w:t>
      </w:r>
    </w:p>
    <w:p>
      <w:pPr>
        <w:pStyle w:val="ListBullet"/>
        <w:spacing w:after="20"/>
      </w:pPr>
      <w:r>
        <w:t>Confirm personal readiness, access, and evidence-submission expectations.</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Course navigation, Learning outcomes, Evidence expectations, Responsible lab conduct</w:t>
            </w:r>
          </w:p>
        </w:tc>
      </w:tr>
    </w:tbl>
    <w:p>
      <w:pPr>
        <w:pStyle w:val="Heading3"/>
      </w:pPr>
      <w:r>
        <w:t>Learning activity</w:t>
      </w:r>
    </w:p>
    <w:p>
      <w:r>
        <w:t>Complete the orientation checklist and identify the selected workload modules for the delivery track.</w:t>
      </w:r>
    </w:p>
    <w:p>
      <w:pPr>
        <w:pStyle w:val="Heading3"/>
      </w:pPr>
      <w:r>
        <w:t>Evidence to capture</w:t>
      </w:r>
    </w:p>
    <w:p>
      <w:pPr>
        <w:pStyle w:val="ListBullet"/>
        <w:spacing w:after="20"/>
      </w:pPr>
      <w:r>
        <w:t>Completed student readiness checklist</w:t>
      </w:r>
    </w:p>
    <w:p>
      <w:pPr>
        <w:pStyle w:val="ListBullet"/>
        <w:spacing w:after="20"/>
      </w:pPr>
      <w:r>
        <w:t>Confirmed access to course site, Microsoft Learn, and lab portals</w:t>
      </w:r>
    </w:p>
    <w:p>
      <w:pPr>
        <w:pStyle w:val="Heading3"/>
      </w:pPr>
      <w:r>
        <w:t>Reflection prompts</w:t>
      </w:r>
    </w:p>
    <w:p>
      <w:pPr>
        <w:pStyle w:val="ListNumber"/>
        <w:spacing w:after="20"/>
      </w:pPr>
      <w:r>
        <w:t>Which course outputs will be used as evidence of completion?</w:t>
      </w:r>
    </w:p>
    <w:p>
      <w:pPr>
        <w:pStyle w:val="ListNumber"/>
        <w:spacing w:after="20"/>
      </w:pPr>
      <w:r>
        <w:t>Which workload modules are included in your delivery track?</w:t>
      </w:r>
    </w:p>
    <w:p/>
    <w:p>
      <w:pPr>
        <w:pStyle w:val="Heading2"/>
      </w:pPr>
      <w:r>
        <w:t>Module 01: Cloud Security Strategy &amp; Governance</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Core | Required output: Security goals worksheet.</w:t>
            </w:r>
          </w:p>
          <w:p>
            <w:r>
              <w:t>Align security goals to business risk and compliance requirements.</w:t>
            </w:r>
          </w:p>
        </w:tc>
      </w:tr>
    </w:tbl>
    <w:p>
      <w:pPr>
        <w:pStyle w:val="Heading3"/>
      </w:pPr>
      <w:r>
        <w:t>Learning outcomes</w:t>
      </w:r>
    </w:p>
    <w:p>
      <w:pPr>
        <w:pStyle w:val="ListBullet"/>
        <w:spacing w:after="20"/>
      </w:pPr>
      <w:r>
        <w:t>Translate business drivers into security goals.</w:t>
      </w:r>
    </w:p>
    <w:p>
      <w:pPr>
        <w:pStyle w:val="ListBullet"/>
        <w:spacing w:after="20"/>
      </w:pPr>
      <w:r>
        <w:t>Identify the risk context for cloud workloads and identity systems.</w:t>
      </w:r>
    </w:p>
    <w:p>
      <w:pPr>
        <w:pStyle w:val="ListBullet"/>
        <w:spacing w:after="20"/>
      </w:pPr>
      <w:r>
        <w:t>Map security priorities to governance, compliance, and remediation needs.</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Business risk, Security goals, Governance model, Compliance drivers, Prioritisation</w:t>
            </w:r>
          </w:p>
        </w:tc>
      </w:tr>
    </w:tbl>
    <w:p>
      <w:pPr>
        <w:pStyle w:val="Heading3"/>
      </w:pPr>
      <w:r>
        <w:t>Learning activity</w:t>
      </w:r>
    </w:p>
    <w:p>
      <w:r>
        <w:t>Build a security goals worksheet for a sample or live customer environment.</w:t>
      </w:r>
    </w:p>
    <w:p>
      <w:pPr>
        <w:pStyle w:val="Heading3"/>
      </w:pPr>
      <w:r>
        <w:t>Evidence to capture</w:t>
      </w:r>
    </w:p>
    <w:p>
      <w:pPr>
        <w:pStyle w:val="ListBullet"/>
        <w:spacing w:after="20"/>
      </w:pPr>
      <w:r>
        <w:t>Security goals worksheet</w:t>
      </w:r>
    </w:p>
    <w:p>
      <w:pPr>
        <w:pStyle w:val="ListBullet"/>
        <w:spacing w:after="20"/>
      </w:pPr>
      <w:r>
        <w:t>Top five risk statements</w:t>
      </w:r>
    </w:p>
    <w:p>
      <w:pPr>
        <w:pStyle w:val="Heading3"/>
      </w:pPr>
      <w:r>
        <w:t>Reflection prompts</w:t>
      </w:r>
    </w:p>
    <w:p>
      <w:pPr>
        <w:pStyle w:val="ListNumber"/>
        <w:spacing w:after="20"/>
      </w:pPr>
      <w:r>
        <w:t>Which security risks are most likely to affect business continuity?</w:t>
      </w:r>
    </w:p>
    <w:p>
      <w:pPr>
        <w:pStyle w:val="ListNumber"/>
        <w:spacing w:after="20"/>
      </w:pPr>
      <w:r>
        <w:t>Which risks require executive sponsorship rather than technical remediation alone?</w:t>
      </w:r>
    </w:p>
    <w:p/>
    <w:p>
      <w:pPr>
        <w:pStyle w:val="Heading2"/>
      </w:pPr>
      <w:r>
        <w:t>Module 02: Microsoft Cloud Security Architecture</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Core | Required output: Microsoft security stack map.</w:t>
            </w:r>
          </w:p>
          <w:p>
            <w:r>
              <w:t>Explain Microsoft’s unified security ecosystem.</w:t>
            </w:r>
          </w:p>
        </w:tc>
      </w:tr>
    </w:tbl>
    <w:p>
      <w:pPr>
        <w:pStyle w:val="Heading3"/>
      </w:pPr>
      <w:r>
        <w:t>Learning outcomes</w:t>
      </w:r>
    </w:p>
    <w:p>
      <w:pPr>
        <w:pStyle w:val="ListBullet"/>
        <w:spacing w:after="20"/>
      </w:pPr>
      <w:r>
        <w:t>Explain the purpose of Microsoft Entra, Defender XDR, Defender for Cloud, Sentinel, and Purview in a unified security architecture.</w:t>
      </w:r>
    </w:p>
    <w:p>
      <w:pPr>
        <w:pStyle w:val="ListBullet"/>
        <w:spacing w:after="20"/>
      </w:pPr>
      <w:r>
        <w:t>Describe how identity, posture, workload protection, compliance, and operations fit together.</w:t>
      </w:r>
    </w:p>
    <w:p>
      <w:pPr>
        <w:pStyle w:val="ListBullet"/>
        <w:spacing w:after="20"/>
      </w:pPr>
      <w:r>
        <w:t>Create a high-level Microsoft security stack map.</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Microsoft unified security stack, Identity control plane, XDR, SIEM/SOAR, Data governance</w:t>
            </w:r>
          </w:p>
        </w:tc>
      </w:tr>
    </w:tbl>
    <w:p>
      <w:pPr>
        <w:pStyle w:val="Heading3"/>
      </w:pPr>
      <w:r>
        <w:t>Learning activity</w:t>
      </w:r>
    </w:p>
    <w:p>
      <w:r>
        <w:t>Create a stack map showing which Microsoft service supports each security objective.</w:t>
      </w:r>
    </w:p>
    <w:p>
      <w:pPr>
        <w:pStyle w:val="Heading3"/>
      </w:pPr>
      <w:r>
        <w:t>Evidence to capture</w:t>
      </w:r>
    </w:p>
    <w:p>
      <w:pPr>
        <w:pStyle w:val="ListBullet"/>
        <w:spacing w:after="20"/>
      </w:pPr>
      <w:r>
        <w:t>Microsoft security stack map</w:t>
      </w:r>
    </w:p>
    <w:p>
      <w:pPr>
        <w:pStyle w:val="ListBullet"/>
        <w:spacing w:after="20"/>
      </w:pPr>
      <w:r>
        <w:t>Architecture notes</w:t>
      </w:r>
    </w:p>
    <w:p>
      <w:pPr>
        <w:pStyle w:val="Heading3"/>
      </w:pPr>
      <w:r>
        <w:t>Reflection prompts</w:t>
      </w:r>
    </w:p>
    <w:p>
      <w:pPr>
        <w:pStyle w:val="ListNumber"/>
        <w:spacing w:after="20"/>
      </w:pPr>
      <w:r>
        <w:t>Which service gives posture visibility?</w:t>
      </w:r>
    </w:p>
    <w:p>
      <w:pPr>
        <w:pStyle w:val="ListNumber"/>
        <w:spacing w:after="20"/>
      </w:pPr>
      <w:r>
        <w:t>Which service governs access and identity risk?</w:t>
      </w:r>
    </w:p>
    <w:p/>
    <w:p>
      <w:pPr>
        <w:pStyle w:val="Heading2"/>
      </w:pPr>
      <w:r>
        <w:t>Module 03: Cloud Security Posture Management</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Core | Required output: Posture review checklist.</w:t>
            </w:r>
          </w:p>
          <w:p>
            <w:r>
              <w:t>Introduce CSPM, secure score, recommendations, compliance, and attack paths.</w:t>
            </w:r>
          </w:p>
        </w:tc>
      </w:tr>
    </w:tbl>
    <w:p>
      <w:pPr>
        <w:pStyle w:val="Heading3"/>
      </w:pPr>
      <w:r>
        <w:t>Learning outcomes</w:t>
      </w:r>
    </w:p>
    <w:p>
      <w:pPr>
        <w:pStyle w:val="ListBullet"/>
        <w:spacing w:after="20"/>
      </w:pPr>
      <w:r>
        <w:t>Explain Cloud Security Posture Management and its role in reducing exposure.</w:t>
      </w:r>
    </w:p>
    <w:p>
      <w:pPr>
        <w:pStyle w:val="ListBullet"/>
        <w:spacing w:after="20"/>
      </w:pPr>
      <w:r>
        <w:t>Use Secure Score, recommendations, regulatory compliance, and attack paths to identify priority risks.</w:t>
      </w:r>
    </w:p>
    <w:p>
      <w:pPr>
        <w:pStyle w:val="ListBullet"/>
        <w:spacing w:after="20"/>
      </w:pPr>
      <w:r>
        <w:t>Document posture findings in a structured checklist.</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CSPM, Secure Score, Recommendations, Regulatory compliance, Attack path analysis, Cloud Security Explorer</w:t>
            </w:r>
          </w:p>
        </w:tc>
      </w:tr>
    </w:tbl>
    <w:p>
      <w:pPr>
        <w:pStyle w:val="Heading3"/>
      </w:pPr>
      <w:r>
        <w:t>Learning activity</w:t>
      </w:r>
    </w:p>
    <w:p>
      <w:r>
        <w:t>Review posture indicators and prioritise the most important remediation actions.</w:t>
      </w:r>
    </w:p>
    <w:p>
      <w:pPr>
        <w:pStyle w:val="Heading3"/>
      </w:pPr>
      <w:r>
        <w:t>Evidence to capture</w:t>
      </w:r>
    </w:p>
    <w:p>
      <w:pPr>
        <w:pStyle w:val="ListBullet"/>
        <w:spacing w:after="20"/>
      </w:pPr>
      <w:r>
        <w:t>Posture review checklist</w:t>
      </w:r>
    </w:p>
    <w:p>
      <w:pPr>
        <w:pStyle w:val="ListBullet"/>
        <w:spacing w:after="20"/>
      </w:pPr>
      <w:r>
        <w:t>Prioritised findings list</w:t>
      </w:r>
    </w:p>
    <w:p>
      <w:pPr>
        <w:pStyle w:val="Heading3"/>
      </w:pPr>
      <w:r>
        <w:t>Reflection prompts</w:t>
      </w:r>
    </w:p>
    <w:p>
      <w:pPr>
        <w:pStyle w:val="ListNumber"/>
        <w:spacing w:after="20"/>
      </w:pPr>
      <w:r>
        <w:t>Which recommendation has the largest risk reduction value?</w:t>
      </w:r>
    </w:p>
    <w:p>
      <w:pPr>
        <w:pStyle w:val="ListNumber"/>
        <w:spacing w:after="20"/>
      </w:pPr>
      <w:r>
        <w:t>Which finding is a quick win versus a long-term governance change?</w:t>
      </w:r>
    </w:p>
    <w:p/>
    <w:p>
      <w:pPr>
        <w:pStyle w:val="Heading2"/>
      </w:pPr>
      <w:r>
        <w:t>Module 04: Defender for Cloud Configuration Control</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Core | Required output: Configuration readiness checklist.</w:t>
            </w:r>
          </w:p>
          <w:p>
            <w:r>
              <w:t>Cover Defender plans, policies, onboarding, and governance controls.</w:t>
            </w:r>
          </w:p>
        </w:tc>
      </w:tr>
    </w:tbl>
    <w:p>
      <w:pPr>
        <w:pStyle w:val="Heading3"/>
      </w:pPr>
      <w:r>
        <w:t>Learning outcomes</w:t>
      </w:r>
    </w:p>
    <w:p>
      <w:pPr>
        <w:pStyle w:val="ListBullet"/>
        <w:spacing w:after="20"/>
      </w:pPr>
      <w:r>
        <w:t>Identify the Defender for Cloud configuration areas that influence governance and coverage.</w:t>
      </w:r>
    </w:p>
    <w:p>
      <w:pPr>
        <w:pStyle w:val="ListBullet"/>
        <w:spacing w:after="20"/>
      </w:pPr>
      <w:r>
        <w:t>Explain plan activation, policy assignment, environment settings, connectors, and permissions.</w:t>
      </w:r>
    </w:p>
    <w:p>
      <w:pPr>
        <w:pStyle w:val="ListBullet"/>
        <w:spacing w:after="20"/>
      </w:pPr>
      <w:r>
        <w:t>Prepare a configuration readiness checklist before enabling plans.</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Defender plans, Environment settings, Azure Policy, Role-based access control, Coverage workbook, Onboarding controls</w:t>
            </w:r>
          </w:p>
        </w:tc>
      </w:tr>
    </w:tbl>
    <w:p>
      <w:pPr>
        <w:pStyle w:val="Heading3"/>
      </w:pPr>
      <w:r>
        <w:t>Learning activity</w:t>
      </w:r>
    </w:p>
    <w:p>
      <w:r>
        <w:t>Validate whether the environment is ready for Defender plan configuration.</w:t>
      </w:r>
    </w:p>
    <w:p>
      <w:pPr>
        <w:pStyle w:val="Heading3"/>
      </w:pPr>
      <w:r>
        <w:t>Evidence to capture</w:t>
      </w:r>
    </w:p>
    <w:p>
      <w:pPr>
        <w:pStyle w:val="ListBullet"/>
        <w:spacing w:after="20"/>
      </w:pPr>
      <w:r>
        <w:t>Configuration readiness checklist</w:t>
      </w:r>
    </w:p>
    <w:p>
      <w:pPr>
        <w:pStyle w:val="ListBullet"/>
        <w:spacing w:after="20"/>
      </w:pPr>
      <w:r>
        <w:t>Permission and scope notes</w:t>
      </w:r>
    </w:p>
    <w:p>
      <w:pPr>
        <w:pStyle w:val="Heading3"/>
      </w:pPr>
      <w:r>
        <w:t>Reflection prompts</w:t>
      </w:r>
    </w:p>
    <w:p>
      <w:pPr>
        <w:pStyle w:val="ListNumber"/>
        <w:spacing w:after="20"/>
      </w:pPr>
      <w:r>
        <w:t>Which plan should not be enabled without cost approval?</w:t>
      </w:r>
    </w:p>
    <w:p>
      <w:pPr>
        <w:pStyle w:val="ListNumber"/>
        <w:spacing w:after="20"/>
      </w:pPr>
      <w:r>
        <w:t>Which role assignment is required for configuration changes?</w:t>
      </w:r>
    </w:p>
    <w:p/>
    <w:p>
      <w:pPr>
        <w:pStyle w:val="Heading2"/>
      </w:pPr>
      <w:r>
        <w:t>Module 05: Workload Protection Decision Matrix</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Core | Required output: Workload protection matrix.</w:t>
            </w:r>
          </w:p>
          <w:p>
            <w:r>
              <w:t>Help learners select priority workload protection areas.</w:t>
            </w:r>
          </w:p>
        </w:tc>
      </w:tr>
    </w:tbl>
    <w:p>
      <w:pPr>
        <w:pStyle w:val="Heading3"/>
      </w:pPr>
      <w:r>
        <w:t>Learning outcomes</w:t>
      </w:r>
    </w:p>
    <w:p>
      <w:pPr>
        <w:pStyle w:val="ListBullet"/>
        <w:spacing w:after="20"/>
      </w:pPr>
      <w:r>
        <w:t>Compare workload protection options across storage, containers, app services, and AI services.</w:t>
      </w:r>
    </w:p>
    <w:p>
      <w:pPr>
        <w:pStyle w:val="ListBullet"/>
        <w:spacing w:after="20"/>
      </w:pPr>
      <w:r>
        <w:t>Select priority workload modules based on business impact, exposure, and implementation readiness.</w:t>
      </w:r>
    </w:p>
    <w:p>
      <w:pPr>
        <w:pStyle w:val="ListBullet"/>
        <w:spacing w:after="20"/>
      </w:pPr>
      <w:r>
        <w:t>Complete a workload protection decision matrix.</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Workload criticality, Attack surface, Implementation effort, Cost exposure, Operational readiness</w:t>
            </w:r>
          </w:p>
        </w:tc>
      </w:tr>
    </w:tbl>
    <w:p>
      <w:pPr>
        <w:pStyle w:val="Heading3"/>
      </w:pPr>
      <w:r>
        <w:t>Learning activity</w:t>
      </w:r>
    </w:p>
    <w:p>
      <w:r>
        <w:t>Score each workload protection option and select two for deeper practical review.</w:t>
      </w:r>
    </w:p>
    <w:p>
      <w:pPr>
        <w:pStyle w:val="Heading3"/>
      </w:pPr>
      <w:r>
        <w:t>Evidence to capture</w:t>
      </w:r>
    </w:p>
    <w:p>
      <w:pPr>
        <w:pStyle w:val="ListBullet"/>
        <w:spacing w:after="20"/>
      </w:pPr>
      <w:r>
        <w:t>Workload protection matrix</w:t>
      </w:r>
    </w:p>
    <w:p>
      <w:pPr>
        <w:pStyle w:val="ListBullet"/>
        <w:spacing w:after="20"/>
      </w:pPr>
      <w:r>
        <w:t>Selected workload rationale</w:t>
      </w:r>
    </w:p>
    <w:p>
      <w:pPr>
        <w:pStyle w:val="Heading3"/>
      </w:pPr>
      <w:r>
        <w:t>Reflection prompts</w:t>
      </w:r>
    </w:p>
    <w:p>
      <w:pPr>
        <w:pStyle w:val="ListNumber"/>
        <w:spacing w:after="20"/>
      </w:pPr>
      <w:r>
        <w:t>Which workload creates the highest data exposure risk?</w:t>
      </w:r>
    </w:p>
    <w:p>
      <w:pPr>
        <w:pStyle w:val="ListNumber"/>
        <w:spacing w:after="20"/>
      </w:pPr>
      <w:r>
        <w:t>Which workload is ready for configuration today?</w:t>
      </w:r>
    </w:p>
    <w:p/>
    <w:p>
      <w:pPr>
        <w:pStyle w:val="Heading2"/>
      </w:pPr>
      <w:r>
        <w:t>Module 06: Defender for Storage</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Workload Protection | Required output: Storage protection scenario review.</w:t>
            </w:r>
          </w:p>
          <w:p>
            <w:r>
              <w:t>Explore storage protection, malware upload risks, and suspicious access.</w:t>
            </w:r>
          </w:p>
        </w:tc>
      </w:tr>
    </w:tbl>
    <w:p>
      <w:pPr>
        <w:pStyle w:val="Heading3"/>
      </w:pPr>
      <w:r>
        <w:t>Learning outcomes</w:t>
      </w:r>
    </w:p>
    <w:p>
      <w:pPr>
        <w:pStyle w:val="ListBullet"/>
        <w:spacing w:after="20"/>
      </w:pPr>
      <w:r>
        <w:t>Explain common security risks in Azure Storage.</w:t>
      </w:r>
    </w:p>
    <w:p>
      <w:pPr>
        <w:pStyle w:val="ListBullet"/>
        <w:spacing w:after="20"/>
      </w:pPr>
      <w:r>
        <w:t>Describe how Defender for Storage helps detect suspicious access patterns and malware upload risk.</w:t>
      </w:r>
    </w:p>
    <w:p>
      <w:pPr>
        <w:pStyle w:val="ListBullet"/>
        <w:spacing w:after="20"/>
      </w:pPr>
      <w:r>
        <w:t>Review a storage protection scenario and recommend mitigations.</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Blob storage, Malware scanning, Suspicious access, Data exfiltration risk, Least privilege</w:t>
            </w:r>
          </w:p>
        </w:tc>
      </w:tr>
    </w:tbl>
    <w:p>
      <w:pPr>
        <w:pStyle w:val="Heading3"/>
      </w:pPr>
      <w:r>
        <w:t>Learning activity</w:t>
      </w:r>
    </w:p>
    <w:p>
      <w:r>
        <w:t>Analyse a storage security scenario and identify protection requirements.</w:t>
      </w:r>
    </w:p>
    <w:p>
      <w:pPr>
        <w:pStyle w:val="Heading3"/>
      </w:pPr>
      <w:r>
        <w:t>Evidence to capture</w:t>
      </w:r>
    </w:p>
    <w:p>
      <w:pPr>
        <w:pStyle w:val="ListBullet"/>
        <w:spacing w:after="20"/>
      </w:pPr>
      <w:r>
        <w:t>Storage protection scenario review</w:t>
      </w:r>
    </w:p>
    <w:p>
      <w:pPr>
        <w:pStyle w:val="ListBullet"/>
        <w:spacing w:after="20"/>
      </w:pPr>
      <w:r>
        <w:t>Mitigation notes</w:t>
      </w:r>
    </w:p>
    <w:p>
      <w:pPr>
        <w:pStyle w:val="Heading3"/>
      </w:pPr>
      <w:r>
        <w:t>Reflection prompts</w:t>
      </w:r>
    </w:p>
    <w:p>
      <w:pPr>
        <w:pStyle w:val="ListNumber"/>
        <w:spacing w:after="20"/>
      </w:pPr>
      <w:r>
        <w:t>What evidence would indicate suspicious storage access?</w:t>
      </w:r>
    </w:p>
    <w:p>
      <w:pPr>
        <w:pStyle w:val="ListNumber"/>
        <w:spacing w:after="20"/>
      </w:pPr>
      <w:r>
        <w:t>Which configuration controls reduce unauthorised data exposure?</w:t>
      </w:r>
    </w:p>
    <w:p/>
    <w:p>
      <w:pPr>
        <w:pStyle w:val="Heading2"/>
      </w:pPr>
      <w:r>
        <w:t>Module 07: Defender for Containers</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Workload Protection | Required output: Container security scenario review.</w:t>
            </w:r>
          </w:p>
          <w:p>
            <w:r>
              <w:t>Explore AKS, Kubernetes, image risk, and runtime protection.</w:t>
            </w:r>
          </w:p>
        </w:tc>
      </w:tr>
    </w:tbl>
    <w:p>
      <w:pPr>
        <w:pStyle w:val="Heading3"/>
      </w:pPr>
      <w:r>
        <w:t>Learning outcomes</w:t>
      </w:r>
    </w:p>
    <w:p>
      <w:pPr>
        <w:pStyle w:val="ListBullet"/>
        <w:spacing w:after="20"/>
      </w:pPr>
      <w:r>
        <w:t>Describe the security risks associated with AKS and containerised workloads.</w:t>
      </w:r>
    </w:p>
    <w:p>
      <w:pPr>
        <w:pStyle w:val="ListBullet"/>
        <w:spacing w:after="20"/>
      </w:pPr>
      <w:r>
        <w:t>Explain image, cluster, and runtime protection concepts.</w:t>
      </w:r>
    </w:p>
    <w:p>
      <w:pPr>
        <w:pStyle w:val="ListBullet"/>
        <w:spacing w:after="20"/>
      </w:pPr>
      <w:r>
        <w:t>Recommend controls for a Kubernetes security scenario.</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AKS, Kubernetes, Container registry, Image risk, Runtime protection, Network policy</w:t>
            </w:r>
          </w:p>
        </w:tc>
      </w:tr>
    </w:tbl>
    <w:p>
      <w:pPr>
        <w:pStyle w:val="Heading3"/>
      </w:pPr>
      <w:r>
        <w:t>Learning activity</w:t>
      </w:r>
    </w:p>
    <w:p>
      <w:r>
        <w:t>Review a container security scenario and identify posture and runtime protection actions.</w:t>
      </w:r>
    </w:p>
    <w:p>
      <w:pPr>
        <w:pStyle w:val="Heading3"/>
      </w:pPr>
      <w:r>
        <w:t>Evidence to capture</w:t>
      </w:r>
    </w:p>
    <w:p>
      <w:pPr>
        <w:pStyle w:val="ListBullet"/>
        <w:spacing w:after="20"/>
      </w:pPr>
      <w:r>
        <w:t>Container security scenario review</w:t>
      </w:r>
    </w:p>
    <w:p>
      <w:pPr>
        <w:pStyle w:val="ListBullet"/>
        <w:spacing w:after="20"/>
      </w:pPr>
      <w:r>
        <w:t>AKS readiness notes</w:t>
      </w:r>
    </w:p>
    <w:p>
      <w:pPr>
        <w:pStyle w:val="Heading3"/>
      </w:pPr>
      <w:r>
        <w:t>Reflection prompts</w:t>
      </w:r>
    </w:p>
    <w:p>
      <w:pPr>
        <w:pStyle w:val="ListNumber"/>
        <w:spacing w:after="20"/>
      </w:pPr>
      <w:r>
        <w:t>Which risks are introduced by vulnerable container images?</w:t>
      </w:r>
    </w:p>
    <w:p>
      <w:pPr>
        <w:pStyle w:val="ListNumber"/>
        <w:spacing w:after="20"/>
      </w:pPr>
      <w:r>
        <w:t>What must be in place before a live AKS lab?</w:t>
      </w:r>
    </w:p>
    <w:p/>
    <w:p>
      <w:pPr>
        <w:pStyle w:val="Heading2"/>
      </w:pPr>
      <w:r>
        <w:t>Module 08: Defender for App Service</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Workload Protection | Required output: App Service protection scenario review.</w:t>
            </w:r>
          </w:p>
          <w:p>
            <w:r>
              <w:t>Explore web app and cloud-native application protection.</w:t>
            </w:r>
          </w:p>
        </w:tc>
      </w:tr>
    </w:tbl>
    <w:p>
      <w:pPr>
        <w:pStyle w:val="Heading3"/>
      </w:pPr>
      <w:r>
        <w:t>Learning outcomes</w:t>
      </w:r>
    </w:p>
    <w:p>
      <w:pPr>
        <w:pStyle w:val="ListBullet"/>
        <w:spacing w:after="20"/>
      </w:pPr>
      <w:r>
        <w:t>Explain the security concerns for cloud-native web applications and App Service workloads.</w:t>
      </w:r>
    </w:p>
    <w:p>
      <w:pPr>
        <w:pStyle w:val="ListBullet"/>
        <w:spacing w:after="20"/>
      </w:pPr>
      <w:r>
        <w:t>Identify protection opportunities for runtime, configuration, and identity exposure.</w:t>
      </w:r>
    </w:p>
    <w:p>
      <w:pPr>
        <w:pStyle w:val="ListBullet"/>
        <w:spacing w:after="20"/>
      </w:pPr>
      <w:r>
        <w:t>Document an App Service protection scenario review.</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App Service, Web workload protection, Runtime alerts, Managed identity, Application exposure</w:t>
            </w:r>
          </w:p>
        </w:tc>
      </w:tr>
    </w:tbl>
    <w:p>
      <w:pPr>
        <w:pStyle w:val="Heading3"/>
      </w:pPr>
      <w:r>
        <w:t>Learning activity</w:t>
      </w:r>
    </w:p>
    <w:p>
      <w:r>
        <w:t>Review a web app protection scenario and propose configuration improvements.</w:t>
      </w:r>
    </w:p>
    <w:p>
      <w:pPr>
        <w:pStyle w:val="Heading3"/>
      </w:pPr>
      <w:r>
        <w:t>Evidence to capture</w:t>
      </w:r>
    </w:p>
    <w:p>
      <w:pPr>
        <w:pStyle w:val="ListBullet"/>
        <w:spacing w:after="20"/>
      </w:pPr>
      <w:r>
        <w:t>App Service protection scenario review</w:t>
      </w:r>
    </w:p>
    <w:p>
      <w:pPr>
        <w:pStyle w:val="ListBullet"/>
        <w:spacing w:after="20"/>
      </w:pPr>
      <w:r>
        <w:t>Application risk notes</w:t>
      </w:r>
    </w:p>
    <w:p>
      <w:pPr>
        <w:pStyle w:val="Heading3"/>
      </w:pPr>
      <w:r>
        <w:t>Reflection prompts</w:t>
      </w:r>
    </w:p>
    <w:p>
      <w:pPr>
        <w:pStyle w:val="ListNumber"/>
        <w:spacing w:after="20"/>
      </w:pPr>
      <w:r>
        <w:t>Which web app risks are configuration-related?</w:t>
      </w:r>
    </w:p>
    <w:p>
      <w:pPr>
        <w:pStyle w:val="ListNumber"/>
        <w:spacing w:after="20"/>
      </w:pPr>
      <w:r>
        <w:t>Which controls reduce runtime and identity exposure?</w:t>
      </w:r>
    </w:p>
    <w:p/>
    <w:p>
      <w:pPr>
        <w:pStyle w:val="Heading2"/>
      </w:pPr>
      <w:r>
        <w:t>Module 09: Defender for AI Services</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Workload Protection | Required output: AI security risk review.</w:t>
            </w:r>
          </w:p>
          <w:p>
            <w:r>
              <w:t>Explore GenAI security, prompt injection, data leakage, and AI monitoring.</w:t>
            </w:r>
          </w:p>
        </w:tc>
      </w:tr>
    </w:tbl>
    <w:p>
      <w:pPr>
        <w:pStyle w:val="Heading3"/>
      </w:pPr>
      <w:r>
        <w:t>Learning outcomes</w:t>
      </w:r>
    </w:p>
    <w:p>
      <w:pPr>
        <w:pStyle w:val="ListBullet"/>
        <w:spacing w:after="20"/>
      </w:pPr>
      <w:r>
        <w:t>Explain AI workload risks including prompt injection, data leakage, unsafe output, and identity misuse.</w:t>
      </w:r>
    </w:p>
    <w:p>
      <w:pPr>
        <w:pStyle w:val="ListBullet"/>
        <w:spacing w:after="20"/>
      </w:pPr>
      <w:r>
        <w:t>Describe Defender for AI Services and related posture monitoring capabilities.</w:t>
      </w:r>
    </w:p>
    <w:p>
      <w:pPr>
        <w:pStyle w:val="ListBullet"/>
        <w:spacing w:after="20"/>
      </w:pPr>
      <w:r>
        <w:t>Complete an AI security risk review.</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Generative AI security, Prompt injection, Data leakage, AI monitoring, Microsoft Foundry, AI identity controls</w:t>
            </w:r>
          </w:p>
        </w:tc>
      </w:tr>
    </w:tbl>
    <w:p>
      <w:pPr>
        <w:pStyle w:val="Heading3"/>
      </w:pPr>
      <w:r>
        <w:t>Learning activity</w:t>
      </w:r>
    </w:p>
    <w:p>
      <w:r>
        <w:t>Analyse an AI workload scenario and identify posture, identity, and data protection controls.</w:t>
      </w:r>
    </w:p>
    <w:p>
      <w:pPr>
        <w:pStyle w:val="Heading3"/>
      </w:pPr>
      <w:r>
        <w:t>Evidence to capture</w:t>
      </w:r>
    </w:p>
    <w:p>
      <w:pPr>
        <w:pStyle w:val="ListBullet"/>
        <w:spacing w:after="20"/>
      </w:pPr>
      <w:r>
        <w:t>AI security risk review</w:t>
      </w:r>
    </w:p>
    <w:p>
      <w:pPr>
        <w:pStyle w:val="ListBullet"/>
        <w:spacing w:after="20"/>
      </w:pPr>
      <w:r>
        <w:t>Prompt/data handling notes</w:t>
      </w:r>
    </w:p>
    <w:p>
      <w:pPr>
        <w:pStyle w:val="Heading3"/>
      </w:pPr>
      <w:r>
        <w:t>Reflection prompts</w:t>
      </w:r>
    </w:p>
    <w:p>
      <w:pPr>
        <w:pStyle w:val="ListNumber"/>
        <w:spacing w:after="20"/>
      </w:pPr>
      <w:r>
        <w:t>What type of data must never be entered into AI prompts during labs?</w:t>
      </w:r>
    </w:p>
    <w:p>
      <w:pPr>
        <w:pStyle w:val="ListNumber"/>
        <w:spacing w:after="20"/>
      </w:pPr>
      <w:r>
        <w:t>How can identity scope increase or reduce AI risk?</w:t>
      </w:r>
    </w:p>
    <w:p/>
    <w:p>
      <w:pPr>
        <w:pStyle w:val="Heading2"/>
      </w:pPr>
      <w:r>
        <w:t>Module 10: Hands-On Security Scenarios</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Applied Practice | Required output: Remediation planning worksheet.</w:t>
            </w:r>
          </w:p>
          <w:p>
            <w:r>
              <w:t>Apply course concepts to realistic security incidents.</w:t>
            </w:r>
          </w:p>
        </w:tc>
      </w:tr>
    </w:tbl>
    <w:p>
      <w:pPr>
        <w:pStyle w:val="Heading3"/>
      </w:pPr>
      <w:r>
        <w:t>Learning outcomes</w:t>
      </w:r>
    </w:p>
    <w:p>
      <w:pPr>
        <w:pStyle w:val="ListBullet"/>
        <w:spacing w:after="20"/>
      </w:pPr>
      <w:r>
        <w:t>Apply course concepts to realistic cloud security incidents.</w:t>
      </w:r>
    </w:p>
    <w:p>
      <w:pPr>
        <w:pStyle w:val="ListBullet"/>
        <w:spacing w:after="20"/>
      </w:pPr>
      <w:r>
        <w:t>Map findings to recommended mitigations.</w:t>
      </w:r>
    </w:p>
    <w:p>
      <w:pPr>
        <w:pStyle w:val="ListBullet"/>
        <w:spacing w:after="20"/>
      </w:pPr>
      <w:r>
        <w:t>Produce a practical remediation planning worksheet.</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Scenario analysis, Threat mapping, Root cause, Remediation planning, Operational review</w:t>
            </w:r>
          </w:p>
        </w:tc>
      </w:tr>
    </w:tbl>
    <w:p>
      <w:pPr>
        <w:pStyle w:val="Heading3"/>
      </w:pPr>
      <w:r>
        <w:t>Learning activity</w:t>
      </w:r>
    </w:p>
    <w:p>
      <w:r>
        <w:t>Work through selected scenarios and convert findings into prioritised remediation tasks.</w:t>
      </w:r>
    </w:p>
    <w:p>
      <w:pPr>
        <w:pStyle w:val="Heading3"/>
      </w:pPr>
      <w:r>
        <w:t>Evidence to capture</w:t>
      </w:r>
    </w:p>
    <w:p>
      <w:pPr>
        <w:pStyle w:val="ListBullet"/>
        <w:spacing w:after="20"/>
      </w:pPr>
      <w:r>
        <w:t>Remediation planning worksheet</w:t>
      </w:r>
    </w:p>
    <w:p>
      <w:pPr>
        <w:pStyle w:val="ListBullet"/>
        <w:spacing w:after="20"/>
      </w:pPr>
      <w:r>
        <w:t>Scenario notes</w:t>
      </w:r>
    </w:p>
    <w:p>
      <w:pPr>
        <w:pStyle w:val="Heading3"/>
      </w:pPr>
      <w:r>
        <w:t>Reflection prompts</w:t>
      </w:r>
    </w:p>
    <w:p>
      <w:pPr>
        <w:pStyle w:val="ListNumber"/>
        <w:spacing w:after="20"/>
      </w:pPr>
      <w:r>
        <w:t>What is the root cause of the scenario risk?</w:t>
      </w:r>
    </w:p>
    <w:p>
      <w:pPr>
        <w:pStyle w:val="ListNumber"/>
        <w:spacing w:after="20"/>
      </w:pPr>
      <w:r>
        <w:t>Which action should be completed first and why?</w:t>
      </w:r>
    </w:p>
    <w:p/>
    <w:p>
      <w:r>
        <w:br w:type="page"/>
      </w:r>
    </w:p>
    <w:p>
      <w:pPr>
        <w:pStyle w:val="Heading2"/>
      </w:pPr>
      <w:r>
        <w:t>Module 11: Capstone Roadmap</w:t>
      </w:r>
    </w:p>
    <w:tbl>
      <w:tblPr>
        <w:tblW w:type="auto" w:w="0"/>
        <w:jc w:val="center"/>
        <w:tblLook w:firstColumn="1" w:firstRow="1" w:lastColumn="0" w:lastRow="0" w:noHBand="0" w:noVBand="1" w:val="04A0"/>
      </w:tblPr>
      <w:tblGrid>
        <w:gridCol w:w="9978"/>
      </w:tblGrid>
      <w:tr>
        <w:tc>
          <w:tcPr>
            <w:tcW w:type="dxa" w:w="9978"/>
            <w:shd w:fill="F7FBFE"/>
            <w:tcBorders>
              <w:top w:sz="6" w:val="single" w:color="00A3E0"/>
              <w:left w:sz="6" w:val="single" w:color="00A3E0"/>
              <w:bottom w:sz="6" w:val="single" w:color="00A3E0"/>
              <w:right w:sz="6" w:val="single" w:color="00A3E0"/>
            </w:tcBorders>
          </w:tcPr>
          <w:p>
            <w:r>
              <w:rPr>
                <w:b/>
                <w:color w:val="1F4E79"/>
                <w:sz w:val="18"/>
              </w:rPr>
              <w:t>Classification: Capstone | Required output: Final remediation roadmap.</w:t>
            </w:r>
          </w:p>
          <w:p>
            <w:r>
              <w:t>Build a practical 30-day security improvement plan.</w:t>
            </w:r>
          </w:p>
        </w:tc>
      </w:tr>
    </w:tbl>
    <w:p>
      <w:pPr>
        <w:pStyle w:val="Heading3"/>
      </w:pPr>
      <w:r>
        <w:t>Learning outcomes</w:t>
      </w:r>
    </w:p>
    <w:p>
      <w:pPr>
        <w:pStyle w:val="ListBullet"/>
        <w:spacing w:after="20"/>
      </w:pPr>
      <w:r>
        <w:t>Build a 30-day security improvement plan.</w:t>
      </w:r>
    </w:p>
    <w:p>
      <w:pPr>
        <w:pStyle w:val="ListBullet"/>
        <w:spacing w:after="20"/>
      </w:pPr>
      <w:r>
        <w:t>Prioritise remediation actions using risk, effort, dependency, and ownership.</w:t>
      </w:r>
    </w:p>
    <w:p>
      <w:pPr>
        <w:pStyle w:val="ListBullet"/>
        <w:spacing w:after="20"/>
      </w:pPr>
      <w:r>
        <w:t>Present a final roadmap that can guide post-course execution.</w:t>
      </w:r>
    </w:p>
    <w:p>
      <w:pPr>
        <w:pStyle w:val="Heading3"/>
      </w:pPr>
      <w:r>
        <w:t>Key concepts</w:t>
      </w:r>
    </w:p>
    <w:tbl>
      <w:tblPr>
        <w:tblStyle w:val="TableGrid"/>
        <w:tblW w:type="auto" w:w="0"/>
        <w:jc w:val="center"/>
        <w:tblLook w:firstColumn="1" w:firstRow="1" w:lastColumn="0" w:lastRow="0" w:noHBand="0" w:noVBand="1" w:val="04A0"/>
      </w:tblPr>
      <w:tblGrid>
        <w:gridCol w:w="9978"/>
      </w:tblGrid>
      <w:tr>
        <w:trPr>
          <w:tblHeader w:val="true"/>
        </w:trPr>
        <w:tc>
          <w:tcPr>
            <w:tcW w:type="dxa" w:w="9071"/>
            <w:vAlign w:val="top"/>
            <w:tcBorders>
              <w:top w:sz="4" w:val="single" w:color="D9E2EC"/>
              <w:left w:sz="4" w:val="single" w:color="D9E2EC"/>
              <w:bottom w:sz="4" w:val="single" w:color="D9E2EC"/>
              <w:right w:sz="4" w:val="single" w:color="D9E2EC"/>
            </w:tcBorders>
            <w:shd w:fill="1F4E79"/>
          </w:tcPr>
          <w:p>
            <w:pPr>
              <w:spacing w:after="60"/>
            </w:pPr>
            <w:r>
              <w:rPr>
                <w:b/>
                <w:color w:val="FFFFFF"/>
                <w:sz w:val="18"/>
              </w:rPr>
              <w:t>Concepts covered</w:t>
            </w:r>
          </w:p>
        </w:tc>
      </w:tr>
      <w:tr>
        <w:tc>
          <w:tcPr>
            <w:tcW w:type="dxa" w:w="9071"/>
            <w:vAlign w:val="top"/>
            <w:tcBorders>
              <w:top w:sz="4" w:val="single" w:color="D9E2EC"/>
              <w:left w:sz="4" w:val="single" w:color="D9E2EC"/>
              <w:bottom w:sz="4" w:val="single" w:color="D9E2EC"/>
              <w:right w:sz="4" w:val="single" w:color="D9E2EC"/>
            </w:tcBorders>
          </w:tcPr>
          <w:p>
            <w:pPr>
              <w:spacing w:after="60"/>
            </w:pPr>
            <w:r>
              <w:rPr>
                <w:sz w:val="18"/>
              </w:rPr>
              <w:t>30-day roadmap, Remediation ownership, Dependencies, Milestones, Success criteria</w:t>
            </w:r>
          </w:p>
        </w:tc>
      </w:tr>
    </w:tbl>
    <w:p>
      <w:pPr>
        <w:pStyle w:val="Heading3"/>
      </w:pPr>
      <w:r>
        <w:t>Learning activity</w:t>
      </w:r>
    </w:p>
    <w:p>
      <w:r>
        <w:t>Create and review the capstone remediation roadmap.</w:t>
      </w:r>
    </w:p>
    <w:p>
      <w:pPr>
        <w:pStyle w:val="Heading3"/>
      </w:pPr>
      <w:r>
        <w:t>Evidence to capture</w:t>
      </w:r>
    </w:p>
    <w:p>
      <w:pPr>
        <w:pStyle w:val="ListBullet"/>
        <w:spacing w:after="20"/>
      </w:pPr>
      <w:r>
        <w:t>Final remediation roadmap</w:t>
      </w:r>
    </w:p>
    <w:p>
      <w:pPr>
        <w:pStyle w:val="ListBullet"/>
        <w:spacing w:after="20"/>
      </w:pPr>
      <w:r>
        <w:t>Action owner list</w:t>
      </w:r>
    </w:p>
    <w:p>
      <w:pPr>
        <w:pStyle w:val="Heading3"/>
      </w:pPr>
      <w:r>
        <w:t>Reflection prompts</w:t>
      </w:r>
    </w:p>
    <w:p>
      <w:pPr>
        <w:pStyle w:val="ListNumber"/>
        <w:spacing w:after="20"/>
      </w:pPr>
      <w:r>
        <w:t>Which remediations can be delivered in the first seven days?</w:t>
      </w:r>
    </w:p>
    <w:p>
      <w:pPr>
        <w:pStyle w:val="ListNumber"/>
        <w:spacing w:after="20"/>
      </w:pPr>
      <w:r>
        <w:t>How will the organisation validate that risk has been reduced?</w:t>
      </w:r>
    </w:p>
    <w:p/>
    <w:p>
      <w:r>
        <w:br w:type="page"/>
      </w:r>
    </w:p>
    <w:p>
      <w:pPr>
        <w:pStyle w:val="Heading1"/>
      </w:pPr>
      <w:r>
        <w:t>6. Learning Activities and Evidence Requirements</w:t>
      </w:r>
    </w:p>
    <w:p>
      <w:r>
        <w:t>The course outputs are designed to help students leave with practical artefacts that can support a customer conversation, internal security planning session, or post-course implementation roadmap.</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Output</w:t>
            </w:r>
          </w:p>
        </w:tc>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Completed in</w:t>
            </w:r>
          </w:p>
        </w:tc>
        <w:tc>
          <w:tcPr>
            <w:tcW w:type="dxa" w:w="4989"/>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Evidence standard</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Security goals worksheet</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 01</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Clear risk-aligned goals, business driver, owner, and success criteria.</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Microsoft security stack map</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 02</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Correctly maps security objectives to Microsoft services and responsibilities.</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Posture review checklist</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 03</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Captures Secure Score, recommendations, compliance, attack paths, and prioritised risks.</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Configuration readiness checklist</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 04</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Identifies tenant, subscription, role, cost, policy, and workload onboarding readiness.</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Workload protection matrix</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 05</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Scores workload options and justifies selected modules.</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Scenario reviews</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Modules 06-10</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Analyses risk, control gaps, recommended mitigations, and evidence.</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Final remediation roadmap</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Module 11</w:t>
            </w:r>
          </w:p>
        </w:tc>
        <w:tc>
          <w:tcPr>
            <w:tcW w:type="dxa" w:w="4989"/>
            <w:vAlign w:val="top"/>
            <w:tcBorders>
              <w:top w:sz="4" w:val="single" w:color="D9E2EC"/>
              <w:left w:sz="4" w:val="single" w:color="D9E2EC"/>
              <w:bottom w:sz="4" w:val="single" w:color="D9E2EC"/>
              <w:right w:sz="4" w:val="single" w:color="D9E2EC"/>
            </w:tcBorders>
          </w:tcPr>
          <w:p>
            <w:pPr>
              <w:spacing w:after="60"/>
            </w:pPr>
            <w:r>
              <w:rPr>
                <w:sz w:val="17"/>
              </w:rPr>
              <w:t>Defines a practical 30-day plan with owners, dates, dependencies, and success metrics.</w:t>
            </w:r>
          </w:p>
        </w:tc>
      </w:tr>
    </w:tbl>
    <w:p>
      <w:pPr>
        <w:pStyle w:val="Heading2"/>
      </w:pPr>
      <w:r>
        <w:t>6.1 Evidence Submission Rules</w:t>
      </w:r>
    </w:p>
    <w:p>
      <w:pPr>
        <w:pStyle w:val="ListBullet"/>
        <w:spacing w:after="20"/>
      </w:pPr>
      <w:r>
        <w:t>Use the provided worksheet templates wherever possible.</w:t>
      </w:r>
    </w:p>
    <w:p>
      <w:pPr>
        <w:pStyle w:val="ListBullet"/>
        <w:spacing w:after="20"/>
      </w:pPr>
      <w:r>
        <w:t>Include screenshots only when allowed and when they do not expose confidential information.</w:t>
      </w:r>
    </w:p>
    <w:p>
      <w:pPr>
        <w:pStyle w:val="ListBullet"/>
        <w:spacing w:after="20"/>
      </w:pPr>
      <w:r>
        <w:t>Where live configuration is not permitted, document the expected configuration steps and the reason the activity was simulated.</w:t>
      </w:r>
    </w:p>
    <w:p>
      <w:pPr>
        <w:pStyle w:val="ListBullet"/>
        <w:spacing w:after="20"/>
      </w:pPr>
      <w:r>
        <w:t>Record all blockers, missing permissions, missing licences, and cost-approval constraints.</w:t>
      </w:r>
    </w:p>
    <w:p>
      <w:pPr>
        <w:pStyle w:val="ListBullet"/>
        <w:spacing w:after="20"/>
      </w:pPr>
      <w:r>
        <w:t>Use plain, auditable evidence language: finding, impact, recommendation, owner, priority, and due date.</w:t>
      </w:r>
    </w:p>
    <w:p>
      <w:r>
        <w:br w:type="page"/>
      </w:r>
    </w:p>
    <w:p>
      <w:pPr>
        <w:pStyle w:val="Heading1"/>
      </w:pPr>
      <w:r>
        <w:t>7. Assessment and Capstone Guidance</w:t>
      </w:r>
    </w:p>
    <w:p>
      <w:r>
        <w:t>Assessment is based on knowledge checks, module activities, scenario analysis, and the final remediation roadmap. The emphasis is practical decision-making rather than memorisation.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Assessment component</w:t>
            </w:r>
          </w:p>
        </w:tc>
        <w:tc>
          <w:tcPr>
            <w:tcW w:type="dxa" w:w="4876"/>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Purpose</w:t>
            </w:r>
          </w:p>
        </w:tc>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Recommended weighting</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Knowledge checks</w:t>
            </w:r>
          </w:p>
        </w:tc>
        <w:tc>
          <w:tcPr>
            <w:tcW w:type="dxa" w:w="4876"/>
            <w:vAlign w:val="top"/>
            <w:tcBorders>
              <w:top w:sz="4" w:val="single" w:color="D9E2EC"/>
              <w:left w:sz="4" w:val="single" w:color="D9E2EC"/>
              <w:bottom w:sz="4" w:val="single" w:color="D9E2EC"/>
              <w:right w:sz="4" w:val="single" w:color="D9E2EC"/>
            </w:tcBorders>
          </w:tcPr>
          <w:p>
            <w:pPr>
              <w:spacing w:after="60"/>
            </w:pPr>
            <w:r>
              <w:rPr>
                <w:sz w:val="17"/>
              </w:rPr>
              <w:t>Validate understanding of key terminology, services, and risk concepts.</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20%</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Module worksheets</w:t>
            </w:r>
          </w:p>
        </w:tc>
        <w:tc>
          <w:tcPr>
            <w:tcW w:type="dxa" w:w="4876"/>
            <w:vAlign w:val="top"/>
            <w:tcBorders>
              <w:top w:sz="4" w:val="single" w:color="D9E2EC"/>
              <w:left w:sz="4" w:val="single" w:color="D9E2EC"/>
              <w:bottom w:sz="4" w:val="single" w:color="D9E2EC"/>
              <w:right w:sz="4" w:val="single" w:color="D9E2EC"/>
            </w:tcBorders>
          </w:tcPr>
          <w:p>
            <w:pPr>
              <w:spacing w:after="60"/>
            </w:pPr>
            <w:r>
              <w:rPr>
                <w:sz w:val="17"/>
              </w:rPr>
              <w:t>Assess completion and quality of core course outputs.</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30%</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Scenario-based analysis</w:t>
            </w:r>
          </w:p>
        </w:tc>
        <w:tc>
          <w:tcPr>
            <w:tcW w:type="dxa" w:w="4876"/>
            <w:vAlign w:val="top"/>
            <w:tcBorders>
              <w:top w:sz="4" w:val="single" w:color="D9E2EC"/>
              <w:left w:sz="4" w:val="single" w:color="D9E2EC"/>
              <w:bottom w:sz="4" w:val="single" w:color="D9E2EC"/>
              <w:right w:sz="4" w:val="single" w:color="D9E2EC"/>
            </w:tcBorders>
          </w:tcPr>
          <w:p>
            <w:pPr>
              <w:spacing w:after="60"/>
            </w:pPr>
            <w:r>
              <w:rPr>
                <w:sz w:val="17"/>
              </w:rPr>
              <w:t>Assess ability to interpret findings and recommend controls.</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25%</w:t>
            </w:r>
          </w:p>
        </w:tc>
      </w:tr>
      <w:tr>
        <w:tc>
          <w:tcPr>
            <w:tcW w:type="dxa" w:w="2381"/>
            <w:vAlign w:val="top"/>
            <w:tcBorders>
              <w:top w:sz="4" w:val="single" w:color="D9E2EC"/>
              <w:left w:sz="4" w:val="single" w:color="D9E2EC"/>
              <w:bottom w:sz="4" w:val="single" w:color="D9E2EC"/>
              <w:right w:sz="4" w:val="single" w:color="D9E2EC"/>
            </w:tcBorders>
          </w:tcPr>
          <w:p>
            <w:pPr>
              <w:spacing w:after="60"/>
            </w:pPr>
            <w:r>
              <w:rPr>
                <w:sz w:val="17"/>
              </w:rPr>
              <w:t>Capstone roadmap</w:t>
            </w:r>
          </w:p>
        </w:tc>
        <w:tc>
          <w:tcPr>
            <w:tcW w:type="dxa" w:w="4876"/>
            <w:vAlign w:val="top"/>
            <w:tcBorders>
              <w:top w:sz="4" w:val="single" w:color="D9E2EC"/>
              <w:left w:sz="4" w:val="single" w:color="D9E2EC"/>
              <w:bottom w:sz="4" w:val="single" w:color="D9E2EC"/>
              <w:right w:sz="4" w:val="single" w:color="D9E2EC"/>
            </w:tcBorders>
          </w:tcPr>
          <w:p>
            <w:pPr>
              <w:spacing w:after="60"/>
            </w:pPr>
            <w:r>
              <w:rPr>
                <w:sz w:val="17"/>
              </w:rPr>
              <w:t>Assess ability to turn findings into a practical 30-day implementation plan.</w:t>
            </w:r>
          </w:p>
        </w:tc>
        <w:tc>
          <w:tcPr>
            <w:tcW w:type="dxa" w:w="1701"/>
            <w:vAlign w:val="top"/>
            <w:tcBorders>
              <w:top w:sz="4" w:val="single" w:color="D9E2EC"/>
              <w:left w:sz="4" w:val="single" w:color="D9E2EC"/>
              <w:bottom w:sz="4" w:val="single" w:color="D9E2EC"/>
              <w:right w:sz="4" w:val="single" w:color="D9E2EC"/>
            </w:tcBorders>
          </w:tcPr>
          <w:p>
            <w:pPr>
              <w:spacing w:after="60"/>
            </w:pPr>
            <w:r>
              <w:rPr>
                <w:sz w:val="17"/>
              </w:rPr>
              <w:t>25%</w:t>
            </w:r>
          </w:p>
        </w:tc>
      </w:tr>
    </w:tbl>
    <w:p>
      <w:pPr>
        <w:pStyle w:val="Heading2"/>
      </w:pPr>
      <w:r>
        <w:t>7.1 Capstone Requirements</w:t>
      </w:r>
    </w:p>
    <w:p>
      <w:pPr>
        <w:pStyle w:val="ListBullet"/>
        <w:spacing w:after="20"/>
      </w:pPr>
      <w:r>
        <w:t>Summarise the current-state security posture or scenario context.</w:t>
      </w:r>
    </w:p>
    <w:p>
      <w:pPr>
        <w:pStyle w:val="ListBullet"/>
        <w:spacing w:after="20"/>
      </w:pPr>
      <w:r>
        <w:t>Identify priority security risks and explain business impact.</w:t>
      </w:r>
    </w:p>
    <w:p>
      <w:pPr>
        <w:pStyle w:val="ListBullet"/>
        <w:spacing w:after="20"/>
      </w:pPr>
      <w:r>
        <w:t>Select remediation actions based on risk, effort, dependencies, and ownership.</w:t>
      </w:r>
    </w:p>
    <w:p>
      <w:pPr>
        <w:pStyle w:val="ListBullet"/>
        <w:spacing w:after="20"/>
      </w:pPr>
      <w:r>
        <w:t>Create a 30-day roadmap with near-term quick wins and longer-term governance actions.</w:t>
      </w:r>
    </w:p>
    <w:p>
      <w:pPr>
        <w:pStyle w:val="ListBullet"/>
        <w:spacing w:after="20"/>
      </w:pPr>
      <w:r>
        <w:t>Define success criteria and evidence that will prove improvement.</w:t>
      </w:r>
    </w:p>
    <w:p>
      <w:pPr>
        <w:pStyle w:val="Heading2"/>
      </w:pPr>
      <w:r>
        <w:t>7.2 Suggested Pass Standard</w:t>
      </w:r>
    </w:p>
    <w:tbl>
      <w:tblPr>
        <w:tblW w:type="auto" w:w="0"/>
        <w:jc w:val="center"/>
        <w:tblLook w:firstColumn="1" w:firstRow="1" w:lastColumn="0" w:lastRow="0" w:noHBand="0" w:noVBand="1" w:val="04A0"/>
      </w:tblPr>
      <w:tblGrid>
        <w:gridCol w:w="9978"/>
      </w:tblGrid>
      <w:tr>
        <w:tc>
          <w:tcPr>
            <w:tcW w:type="dxa" w:w="9978"/>
            <w:shd w:fill="EAF5FB"/>
            <w:tcBorders>
              <w:top w:sz="8" w:val="single" w:color="00A3E0"/>
              <w:left w:sz="8" w:val="single" w:color="00A3E0"/>
              <w:bottom w:sz="8" w:val="single" w:color="00A3E0"/>
              <w:right w:sz="8" w:val="single" w:color="00A3E0"/>
            </w:tcBorders>
            <w:vAlign w:val="center"/>
          </w:tcPr>
          <w:p>
            <w:pPr>
              <w:spacing w:after="40"/>
            </w:pPr>
            <w:r>
              <w:rPr>
                <w:b/>
                <w:color w:val="1F4E79"/>
                <w:sz w:val="20"/>
              </w:rPr>
              <w:t>Recommended pass mark</w:t>
            </w:r>
          </w:p>
          <w:p>
            <w:pPr>
              <w:spacing w:after="60"/>
            </w:pPr>
            <w:r>
              <w:rPr>
                <w:sz w:val="18"/>
              </w:rPr>
              <w:t>Recommended pass mark: 70%. Students should submit the required worksheets and produce a capstone roadmap that is specific, risk-based, feasible, and aligned to the course scenario or customer environment.</w:t>
            </w:r>
          </w:p>
        </w:tc>
      </w:tr>
    </w:tbl>
    <w:p/>
    <w:p>
      <w:r>
        <w:br w:type="page"/>
      </w:r>
    </w:p>
    <w:p>
      <w:pPr>
        <w:pStyle w:val="Heading1"/>
      </w:pPr>
      <w:r>
        <w:t>8. Student Worksheets and Templates</w:t>
      </w:r>
    </w:p>
    <w:p>
      <w:r>
        <w:t>The following templates can be copied into Microsoft Loop, Microsoft Word, Microsoft Lists, GitHub Issues, or the course LMS. They are included here in printable form for classroom use.</w:t>
      </w:r>
    </w:p>
    <w:p>
      <w:pPr>
        <w:pStyle w:val="Heading2"/>
      </w:pPr>
      <w:r>
        <w:t>8.1 Security Goals Worksheet</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Business driver</w:t>
            </w:r>
          </w:p>
        </w:tc>
        <w:tc>
          <w:tcPr>
            <w:tcW w:type="dxa" w:w="1814"/>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Security risk</w:t>
            </w:r>
          </w:p>
        </w:tc>
        <w:tc>
          <w:tcPr>
            <w:tcW w:type="dxa" w:w="1814"/>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Security goal</w:t>
            </w:r>
          </w:p>
        </w:tc>
        <w:tc>
          <w:tcPr>
            <w:tcW w:type="dxa" w:w="1134"/>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Priority</w:t>
            </w:r>
          </w:p>
        </w:tc>
        <w:tc>
          <w:tcPr>
            <w:tcW w:type="dxa" w:w="1247"/>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Owner</w:t>
            </w:r>
          </w:p>
        </w:tc>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Success measure</w:t>
            </w:r>
          </w:p>
        </w:tc>
      </w:tr>
      <w:tr>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6"/>
              </w:rPr>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6"/>
              </w:rPr>
            </w:r>
          </w:p>
        </w:tc>
      </w:tr>
    </w:tbl>
    <w:p>
      <w:pPr>
        <w:pStyle w:val="Heading2"/>
      </w:pPr>
      <w:r>
        <w:t>8.2 Microsoft Security Stack Map</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Security objective</w:t>
            </w:r>
          </w:p>
        </w:tc>
        <w:tc>
          <w:tcPr>
            <w:tcW w:type="dxa" w:w="249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Microsoft service</w:t>
            </w:r>
          </w:p>
        </w:tc>
        <w:tc>
          <w:tcPr>
            <w:tcW w:type="dxa" w:w="232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Primary responsibility</w:t>
            </w:r>
          </w:p>
        </w:tc>
        <w:tc>
          <w:tcPr>
            <w:tcW w:type="dxa" w:w="198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Notes</w:t>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5"/>
              </w:rPr>
              <w:t>Identity protection</w:t>
            </w:r>
          </w:p>
        </w:tc>
        <w:tc>
          <w:tcPr>
            <w:tcW w:type="dxa" w:w="2494"/>
            <w:vAlign w:val="top"/>
            <w:tcBorders>
              <w:top w:sz="4" w:val="single" w:color="D9E2EC"/>
              <w:left w:sz="4" w:val="single" w:color="D9E2EC"/>
              <w:bottom w:sz="4" w:val="single" w:color="D9E2EC"/>
              <w:right w:sz="4" w:val="single" w:color="D9E2EC"/>
            </w:tcBorders>
          </w:tcPr>
          <w:p>
            <w:pPr>
              <w:spacing w:after="60"/>
            </w:pPr>
            <w:r>
              <w:rPr>
                <w:sz w:val="15"/>
              </w:rPr>
              <w:t>Microsoft Entra</w:t>
            </w:r>
          </w:p>
        </w:tc>
        <w:tc>
          <w:tcPr>
            <w:tcW w:type="dxa" w:w="232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984"/>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5"/>
              </w:rPr>
              <w:t>Cloud posture visibility</w:t>
            </w:r>
          </w:p>
        </w:tc>
        <w:tc>
          <w:tcPr>
            <w:tcW w:type="dxa" w:w="2494"/>
            <w:vAlign w:val="top"/>
            <w:tcBorders>
              <w:top w:sz="4" w:val="single" w:color="D9E2EC"/>
              <w:left w:sz="4" w:val="single" w:color="D9E2EC"/>
              <w:bottom w:sz="4" w:val="single" w:color="D9E2EC"/>
              <w:right w:sz="4" w:val="single" w:color="D9E2EC"/>
            </w:tcBorders>
          </w:tcPr>
          <w:p>
            <w:pPr>
              <w:spacing w:after="60"/>
            </w:pPr>
            <w:r>
              <w:rPr>
                <w:sz w:val="15"/>
              </w:rPr>
              <w:t>Microsoft Defender for Cloud</w:t>
            </w:r>
          </w:p>
        </w:tc>
        <w:tc>
          <w:tcPr>
            <w:tcW w:type="dxa" w:w="232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984"/>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5"/>
              </w:rPr>
              <w:t>Threat detection and XDR</w:t>
            </w:r>
          </w:p>
        </w:tc>
        <w:tc>
          <w:tcPr>
            <w:tcW w:type="dxa" w:w="2494"/>
            <w:vAlign w:val="top"/>
            <w:tcBorders>
              <w:top w:sz="4" w:val="single" w:color="D9E2EC"/>
              <w:left w:sz="4" w:val="single" w:color="D9E2EC"/>
              <w:bottom w:sz="4" w:val="single" w:color="D9E2EC"/>
              <w:right w:sz="4" w:val="single" w:color="D9E2EC"/>
            </w:tcBorders>
          </w:tcPr>
          <w:p>
            <w:pPr>
              <w:spacing w:after="60"/>
            </w:pPr>
            <w:r>
              <w:rPr>
                <w:sz w:val="15"/>
              </w:rPr>
              <w:t>Microsoft Defender XDR</w:t>
            </w:r>
          </w:p>
        </w:tc>
        <w:tc>
          <w:tcPr>
            <w:tcW w:type="dxa" w:w="232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984"/>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5"/>
              </w:rPr>
              <w:t>SIEM/SOAR operations</w:t>
            </w:r>
          </w:p>
        </w:tc>
        <w:tc>
          <w:tcPr>
            <w:tcW w:type="dxa" w:w="2494"/>
            <w:vAlign w:val="top"/>
            <w:tcBorders>
              <w:top w:sz="4" w:val="single" w:color="D9E2EC"/>
              <w:left w:sz="4" w:val="single" w:color="D9E2EC"/>
              <w:bottom w:sz="4" w:val="single" w:color="D9E2EC"/>
              <w:right w:sz="4" w:val="single" w:color="D9E2EC"/>
            </w:tcBorders>
          </w:tcPr>
          <w:p>
            <w:pPr>
              <w:spacing w:after="60"/>
            </w:pPr>
            <w:r>
              <w:rPr>
                <w:sz w:val="15"/>
              </w:rPr>
              <w:t>Microsoft Sentinel</w:t>
            </w:r>
          </w:p>
        </w:tc>
        <w:tc>
          <w:tcPr>
            <w:tcW w:type="dxa" w:w="232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984"/>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5"/>
              </w:rPr>
              <w:t>Data governance and compliance</w:t>
            </w:r>
          </w:p>
        </w:tc>
        <w:tc>
          <w:tcPr>
            <w:tcW w:type="dxa" w:w="2494"/>
            <w:vAlign w:val="top"/>
            <w:tcBorders>
              <w:top w:sz="4" w:val="single" w:color="D9E2EC"/>
              <w:left w:sz="4" w:val="single" w:color="D9E2EC"/>
              <w:bottom w:sz="4" w:val="single" w:color="D9E2EC"/>
              <w:right w:sz="4" w:val="single" w:color="D9E2EC"/>
            </w:tcBorders>
          </w:tcPr>
          <w:p>
            <w:pPr>
              <w:spacing w:after="60"/>
            </w:pPr>
            <w:r>
              <w:rPr>
                <w:sz w:val="15"/>
              </w:rPr>
              <w:t>Microsoft Purview</w:t>
            </w:r>
          </w:p>
        </w:tc>
        <w:tc>
          <w:tcPr>
            <w:tcW w:type="dxa" w:w="232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984"/>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2268"/>
            <w:vAlign w:val="top"/>
            <w:tcBorders>
              <w:top w:sz="4" w:val="single" w:color="D9E2EC"/>
              <w:left w:sz="4" w:val="single" w:color="D9E2EC"/>
              <w:bottom w:sz="4" w:val="single" w:color="D9E2EC"/>
              <w:right w:sz="4" w:val="single" w:color="D9E2EC"/>
            </w:tcBorders>
          </w:tcPr>
          <w:p>
            <w:pPr>
              <w:spacing w:after="60"/>
            </w:pPr>
            <w:r>
              <w:rPr>
                <w:sz w:val="15"/>
              </w:rPr>
              <w:t>AI workload security</w:t>
            </w:r>
          </w:p>
        </w:tc>
        <w:tc>
          <w:tcPr>
            <w:tcW w:type="dxa" w:w="2494"/>
            <w:vAlign w:val="top"/>
            <w:tcBorders>
              <w:top w:sz="4" w:val="single" w:color="D9E2EC"/>
              <w:left w:sz="4" w:val="single" w:color="D9E2EC"/>
              <w:bottom w:sz="4" w:val="single" w:color="D9E2EC"/>
              <w:right w:sz="4" w:val="single" w:color="D9E2EC"/>
            </w:tcBorders>
          </w:tcPr>
          <w:p>
            <w:pPr>
              <w:spacing w:after="60"/>
            </w:pPr>
            <w:r>
              <w:rPr>
                <w:sz w:val="15"/>
              </w:rPr>
              <w:t>Defender for Cloud / Defender for AI Services / Microsoft Foundry controls</w:t>
            </w:r>
          </w:p>
        </w:tc>
        <w:tc>
          <w:tcPr>
            <w:tcW w:type="dxa" w:w="232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984"/>
            <w:vAlign w:val="top"/>
            <w:tcBorders>
              <w:top w:sz="4" w:val="single" w:color="D9E2EC"/>
              <w:left w:sz="4" w:val="single" w:color="D9E2EC"/>
              <w:bottom w:sz="4" w:val="single" w:color="D9E2EC"/>
              <w:right w:sz="4" w:val="single" w:color="D9E2EC"/>
            </w:tcBorders>
          </w:tcPr>
          <w:p>
            <w:pPr>
              <w:spacing w:after="60"/>
            </w:pPr>
            <w:r>
              <w:rPr>
                <w:sz w:val="15"/>
              </w:rPr>
            </w:r>
          </w:p>
        </w:tc>
      </w:tr>
    </w:tbl>
    <w:p>
      <w:pPr>
        <w:pStyle w:val="Heading2"/>
      </w:pPr>
      <w:r>
        <w:t>8.3 Cloud Security Posture Review Checklist</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81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Area reviewed</w:t>
            </w:r>
          </w:p>
        </w:tc>
        <w:tc>
          <w:tcPr>
            <w:tcW w:type="dxa" w:w="181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Finding</w:t>
            </w:r>
          </w:p>
        </w:tc>
        <w:tc>
          <w:tcPr>
            <w:tcW w:type="dxa" w:w="181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Risk impact</w:t>
            </w:r>
          </w:p>
        </w:tc>
        <w:tc>
          <w:tcPr>
            <w:tcW w:type="dxa" w:w="113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Priority</w:t>
            </w:r>
          </w:p>
        </w:tc>
        <w:tc>
          <w:tcPr>
            <w:tcW w:type="dxa" w:w="238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Recommended action</w:t>
            </w:r>
          </w:p>
        </w:tc>
      </w:tr>
      <w:tr>
        <w:tc>
          <w:tcPr>
            <w:tcW w:type="dxa" w:w="1814"/>
            <w:vAlign w:val="top"/>
            <w:tcBorders>
              <w:top w:sz="4" w:val="single" w:color="D9E2EC"/>
              <w:left w:sz="4" w:val="single" w:color="D9E2EC"/>
              <w:bottom w:sz="4" w:val="single" w:color="D9E2EC"/>
              <w:right w:sz="4" w:val="single" w:color="D9E2EC"/>
            </w:tcBorders>
          </w:tcPr>
          <w:p>
            <w:pPr>
              <w:spacing w:after="60"/>
            </w:pPr>
            <w:r>
              <w:rPr>
                <w:sz w:val="15"/>
              </w:rPr>
              <w:t>Secure Score</w:t>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5"/>
              </w:rPr>
            </w:r>
          </w:p>
        </w:tc>
        <w:tc>
          <w:tcPr>
            <w:tcW w:type="dxa" w:w="238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814"/>
            <w:vAlign w:val="top"/>
            <w:tcBorders>
              <w:top w:sz="4" w:val="single" w:color="D9E2EC"/>
              <w:left w:sz="4" w:val="single" w:color="D9E2EC"/>
              <w:bottom w:sz="4" w:val="single" w:color="D9E2EC"/>
              <w:right w:sz="4" w:val="single" w:color="D9E2EC"/>
            </w:tcBorders>
          </w:tcPr>
          <w:p>
            <w:pPr>
              <w:spacing w:after="60"/>
            </w:pPr>
            <w:r>
              <w:rPr>
                <w:sz w:val="15"/>
              </w:rPr>
              <w:t>Recommendations</w:t>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5"/>
              </w:rPr>
            </w:r>
          </w:p>
        </w:tc>
        <w:tc>
          <w:tcPr>
            <w:tcW w:type="dxa" w:w="238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814"/>
            <w:vAlign w:val="top"/>
            <w:tcBorders>
              <w:top w:sz="4" w:val="single" w:color="D9E2EC"/>
              <w:left w:sz="4" w:val="single" w:color="D9E2EC"/>
              <w:bottom w:sz="4" w:val="single" w:color="D9E2EC"/>
              <w:right w:sz="4" w:val="single" w:color="D9E2EC"/>
            </w:tcBorders>
          </w:tcPr>
          <w:p>
            <w:pPr>
              <w:spacing w:after="60"/>
            </w:pPr>
            <w:r>
              <w:rPr>
                <w:sz w:val="15"/>
              </w:rPr>
              <w:t>Regulatory compliance</w:t>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5"/>
              </w:rPr>
            </w:r>
          </w:p>
        </w:tc>
        <w:tc>
          <w:tcPr>
            <w:tcW w:type="dxa" w:w="238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814"/>
            <w:vAlign w:val="top"/>
            <w:tcBorders>
              <w:top w:sz="4" w:val="single" w:color="D9E2EC"/>
              <w:left w:sz="4" w:val="single" w:color="D9E2EC"/>
              <w:bottom w:sz="4" w:val="single" w:color="D9E2EC"/>
              <w:right w:sz="4" w:val="single" w:color="D9E2EC"/>
            </w:tcBorders>
          </w:tcPr>
          <w:p>
            <w:pPr>
              <w:spacing w:after="60"/>
            </w:pPr>
            <w:r>
              <w:rPr>
                <w:sz w:val="15"/>
              </w:rPr>
              <w:t>Attack paths</w:t>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5"/>
              </w:rPr>
            </w:r>
          </w:p>
        </w:tc>
        <w:tc>
          <w:tcPr>
            <w:tcW w:type="dxa" w:w="238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814"/>
            <w:vAlign w:val="top"/>
            <w:tcBorders>
              <w:top w:sz="4" w:val="single" w:color="D9E2EC"/>
              <w:left w:sz="4" w:val="single" w:color="D9E2EC"/>
              <w:bottom w:sz="4" w:val="single" w:color="D9E2EC"/>
              <w:right w:sz="4" w:val="single" w:color="D9E2EC"/>
            </w:tcBorders>
          </w:tcPr>
          <w:p>
            <w:pPr>
              <w:spacing w:after="60"/>
            </w:pPr>
            <w:r>
              <w:rPr>
                <w:sz w:val="15"/>
              </w:rPr>
              <w:t>Over-privileged identities</w:t>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5"/>
              </w:rPr>
            </w:r>
          </w:p>
        </w:tc>
        <w:tc>
          <w:tcPr>
            <w:tcW w:type="dxa" w:w="238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814"/>
            <w:vAlign w:val="top"/>
            <w:tcBorders>
              <w:top w:sz="4" w:val="single" w:color="D9E2EC"/>
              <w:left w:sz="4" w:val="single" w:color="D9E2EC"/>
              <w:bottom w:sz="4" w:val="single" w:color="D9E2EC"/>
              <w:right w:sz="4" w:val="single" w:color="D9E2EC"/>
            </w:tcBorders>
          </w:tcPr>
          <w:p>
            <w:pPr>
              <w:spacing w:after="60"/>
            </w:pPr>
            <w:r>
              <w:rPr>
                <w:sz w:val="15"/>
              </w:rPr>
              <w:t>Misconfigured resources</w:t>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81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134"/>
            <w:vAlign w:val="top"/>
            <w:tcBorders>
              <w:top w:sz="4" w:val="single" w:color="D9E2EC"/>
              <w:left w:sz="4" w:val="single" w:color="D9E2EC"/>
              <w:bottom w:sz="4" w:val="single" w:color="D9E2EC"/>
              <w:right w:sz="4" w:val="single" w:color="D9E2EC"/>
            </w:tcBorders>
          </w:tcPr>
          <w:p>
            <w:pPr>
              <w:spacing w:after="60"/>
            </w:pPr>
            <w:r>
              <w:rPr>
                <w:sz w:val="15"/>
              </w:rPr>
            </w:r>
          </w:p>
        </w:tc>
        <w:tc>
          <w:tcPr>
            <w:tcW w:type="dxa" w:w="2381"/>
            <w:vAlign w:val="top"/>
            <w:tcBorders>
              <w:top w:sz="4" w:val="single" w:color="D9E2EC"/>
              <w:left w:sz="4" w:val="single" w:color="D9E2EC"/>
              <w:bottom w:sz="4" w:val="single" w:color="D9E2EC"/>
              <w:right w:sz="4" w:val="single" w:color="D9E2EC"/>
            </w:tcBorders>
          </w:tcPr>
          <w:p>
            <w:pPr>
              <w:spacing w:after="60"/>
            </w:pPr>
            <w:r>
              <w:rPr>
                <w:sz w:val="15"/>
              </w:rPr>
            </w:r>
          </w:p>
        </w:tc>
      </w:tr>
    </w:tbl>
    <w:p>
      <w:pPr>
        <w:pStyle w:val="Heading2"/>
      </w:pPr>
      <w:r>
        <w:t>8.4 Configuration Readiness Checklist</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835"/>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Readiness item</w:t>
            </w:r>
          </w:p>
        </w:tc>
        <w:tc>
          <w:tcPr>
            <w:tcW w:type="dxa" w:w="1247"/>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Status</w:t>
            </w:r>
          </w:p>
        </w:tc>
        <w:tc>
          <w:tcPr>
            <w:tcW w:type="dxa" w:w="3402"/>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Evidence / Notes</w:t>
            </w:r>
          </w:p>
        </w:tc>
        <w:tc>
          <w:tcPr>
            <w:tcW w:type="dxa" w:w="1587"/>
            <w:vAlign w:val="top"/>
            <w:tcBorders>
              <w:top w:sz="4" w:val="single" w:color="D9E2EC"/>
              <w:left w:sz="4" w:val="single" w:color="D9E2EC"/>
              <w:bottom w:sz="4" w:val="single" w:color="D9E2EC"/>
              <w:right w:sz="4" w:val="single" w:color="D9E2EC"/>
            </w:tcBorders>
            <w:shd w:fill="1F4E79"/>
          </w:tcPr>
          <w:p>
            <w:pPr>
              <w:spacing w:after="60"/>
            </w:pPr>
            <w:r>
              <w:rPr>
                <w:b/>
                <w:color w:val="FFFFFF"/>
                <w:sz w:val="16"/>
              </w:rPr>
              <w:t>Owner</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Correct tenant selected</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Subscription or resource group visible</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Required RBAC roles assigned</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Defender for Cloud enabled</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Environment settings accessible</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Paid plan approval confirmed</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6"/>
              </w:rPr>
              <w:t>Lab cleanup plan agreed</w:t>
            </w:r>
          </w:p>
        </w:tc>
        <w:tc>
          <w:tcPr>
            <w:tcW w:type="dxa" w:w="1247"/>
            <w:vAlign w:val="top"/>
            <w:tcBorders>
              <w:top w:sz="4" w:val="single" w:color="D9E2EC"/>
              <w:left w:sz="4" w:val="single" w:color="D9E2EC"/>
              <w:bottom w:sz="4" w:val="single" w:color="D9E2EC"/>
              <w:right w:sz="4" w:val="single" w:color="D9E2EC"/>
            </w:tcBorders>
          </w:tcPr>
          <w:p>
            <w:pPr>
              <w:spacing w:after="60"/>
            </w:pPr>
            <w:r>
              <w:rPr>
                <w:sz w:val="16"/>
              </w:rPr>
            </w:r>
          </w:p>
        </w:tc>
        <w:tc>
          <w:tcPr>
            <w:tcW w:type="dxa" w:w="3402"/>
            <w:vAlign w:val="top"/>
            <w:tcBorders>
              <w:top w:sz="4" w:val="single" w:color="D9E2EC"/>
              <w:left w:sz="4" w:val="single" w:color="D9E2EC"/>
              <w:bottom w:sz="4" w:val="single" w:color="D9E2EC"/>
              <w:right w:sz="4" w:val="single" w:color="D9E2EC"/>
            </w:tcBorders>
          </w:tcPr>
          <w:p>
            <w:pPr>
              <w:spacing w:after="60"/>
            </w:pPr>
            <w:r>
              <w:rPr>
                <w:sz w:val="16"/>
              </w:rPr>
            </w:r>
          </w:p>
        </w:tc>
        <w:tc>
          <w:tcPr>
            <w:tcW w:type="dxa" w:w="1587"/>
            <w:vAlign w:val="top"/>
            <w:tcBorders>
              <w:top w:sz="4" w:val="single" w:color="D9E2EC"/>
              <w:left w:sz="4" w:val="single" w:color="D9E2EC"/>
              <w:bottom w:sz="4" w:val="single" w:color="D9E2EC"/>
              <w:right w:sz="4" w:val="single" w:color="D9E2EC"/>
            </w:tcBorders>
          </w:tcPr>
          <w:p>
            <w:pPr>
              <w:spacing w:after="60"/>
            </w:pPr>
            <w:r>
              <w:rPr>
                <w:sz w:val="16"/>
              </w:rPr>
            </w:r>
          </w:p>
        </w:tc>
      </w:tr>
    </w:tbl>
    <w:p>
      <w:pPr>
        <w:pStyle w:val="Heading2"/>
      </w:pPr>
      <w:r>
        <w:t>8.5 Workload Protection Decision Matrix</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1928"/>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Workload</w:t>
            </w:r>
          </w:p>
        </w:tc>
        <w:tc>
          <w:tcPr>
            <w:tcW w:type="dxa" w:w="147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Business impact</w:t>
            </w:r>
          </w:p>
        </w:tc>
        <w:tc>
          <w:tcPr>
            <w:tcW w:type="dxa" w:w="147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Exposure level</w:t>
            </w:r>
          </w:p>
        </w:tc>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Implementation readiness</w:t>
            </w:r>
          </w:p>
        </w:tc>
        <w:tc>
          <w:tcPr>
            <w:tcW w:type="dxa" w:w="136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Cost / complexity</w:t>
            </w:r>
          </w:p>
        </w:tc>
        <w:tc>
          <w:tcPr>
            <w:tcW w:type="dxa" w:w="136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Priority decision</w:t>
            </w:r>
          </w:p>
        </w:tc>
      </w:tr>
      <w:tr>
        <w:tc>
          <w:tcPr>
            <w:tcW w:type="dxa" w:w="1928"/>
            <w:vAlign w:val="top"/>
            <w:tcBorders>
              <w:top w:sz="4" w:val="single" w:color="D9E2EC"/>
              <w:left w:sz="4" w:val="single" w:color="D9E2EC"/>
              <w:bottom w:sz="4" w:val="single" w:color="D9E2EC"/>
              <w:right w:sz="4" w:val="single" w:color="D9E2EC"/>
            </w:tcBorders>
          </w:tcPr>
          <w:p>
            <w:pPr>
              <w:spacing w:after="60"/>
            </w:pPr>
            <w:r>
              <w:rPr>
                <w:sz w:val="15"/>
              </w:rPr>
              <w:t>Defender for Storage</w:t>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928"/>
            <w:vAlign w:val="top"/>
            <w:tcBorders>
              <w:top w:sz="4" w:val="single" w:color="D9E2EC"/>
              <w:left w:sz="4" w:val="single" w:color="D9E2EC"/>
              <w:bottom w:sz="4" w:val="single" w:color="D9E2EC"/>
              <w:right w:sz="4" w:val="single" w:color="D9E2EC"/>
            </w:tcBorders>
          </w:tcPr>
          <w:p>
            <w:pPr>
              <w:spacing w:after="60"/>
            </w:pPr>
            <w:r>
              <w:rPr>
                <w:sz w:val="15"/>
              </w:rPr>
              <w:t>Defender for Containers</w:t>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928"/>
            <w:vAlign w:val="top"/>
            <w:tcBorders>
              <w:top w:sz="4" w:val="single" w:color="D9E2EC"/>
              <w:left w:sz="4" w:val="single" w:color="D9E2EC"/>
              <w:bottom w:sz="4" w:val="single" w:color="D9E2EC"/>
              <w:right w:sz="4" w:val="single" w:color="D9E2EC"/>
            </w:tcBorders>
          </w:tcPr>
          <w:p>
            <w:pPr>
              <w:spacing w:after="60"/>
            </w:pPr>
            <w:r>
              <w:rPr>
                <w:sz w:val="15"/>
              </w:rPr>
              <w:t>Defender for App Service</w:t>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928"/>
            <w:vAlign w:val="top"/>
            <w:tcBorders>
              <w:top w:sz="4" w:val="single" w:color="D9E2EC"/>
              <w:left w:sz="4" w:val="single" w:color="D9E2EC"/>
              <w:bottom w:sz="4" w:val="single" w:color="D9E2EC"/>
              <w:right w:sz="4" w:val="single" w:color="D9E2EC"/>
            </w:tcBorders>
          </w:tcPr>
          <w:p>
            <w:pPr>
              <w:spacing w:after="60"/>
            </w:pPr>
            <w:r>
              <w:rPr>
                <w:sz w:val="15"/>
              </w:rPr>
              <w:t>Defender for AI Services</w:t>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7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61"/>
            <w:vAlign w:val="top"/>
            <w:tcBorders>
              <w:top w:sz="4" w:val="single" w:color="D9E2EC"/>
              <w:left w:sz="4" w:val="single" w:color="D9E2EC"/>
              <w:bottom w:sz="4" w:val="single" w:color="D9E2EC"/>
              <w:right w:sz="4" w:val="single" w:color="D9E2EC"/>
            </w:tcBorders>
          </w:tcPr>
          <w:p>
            <w:pPr>
              <w:spacing w:after="60"/>
            </w:pPr>
            <w:r>
              <w:rPr>
                <w:sz w:val="15"/>
              </w:rPr>
            </w:r>
          </w:p>
        </w:tc>
      </w:tr>
    </w:tbl>
    <w:p>
      <w:pPr>
        <w:pStyle w:val="Heading2"/>
      </w:pPr>
      <w:r>
        <w:t>8.6 Scenario Review Template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Scenario element</w:t>
            </w:r>
          </w:p>
        </w:tc>
        <w:tc>
          <w:tcPr>
            <w:tcW w:type="dxa" w:w="6236"/>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Student notes</w:t>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Scenario summary</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Affected workload or service</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Observed risk or misconfiguration</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Likely business impact</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Recommended mitigation</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Owner or accountable team</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2835"/>
            <w:vAlign w:val="top"/>
            <w:tcBorders>
              <w:top w:sz="4" w:val="single" w:color="D9E2EC"/>
              <w:left w:sz="4" w:val="single" w:color="D9E2EC"/>
              <w:bottom w:sz="4" w:val="single" w:color="D9E2EC"/>
              <w:right w:sz="4" w:val="single" w:color="D9E2EC"/>
            </w:tcBorders>
          </w:tcPr>
          <w:p>
            <w:pPr>
              <w:spacing w:after="60"/>
            </w:pPr>
            <w:r>
              <w:rPr>
                <w:sz w:val="17"/>
              </w:rPr>
              <w:t>Evidence required</w:t>
            </w:r>
          </w:p>
        </w:tc>
        <w:tc>
          <w:tcPr>
            <w:tcW w:type="dxa" w:w="6236"/>
            <w:vAlign w:val="top"/>
            <w:tcBorders>
              <w:top w:sz="4" w:val="single" w:color="D9E2EC"/>
              <w:left w:sz="4" w:val="single" w:color="D9E2EC"/>
              <w:bottom w:sz="4" w:val="single" w:color="D9E2EC"/>
              <w:right w:sz="4" w:val="single" w:color="D9E2EC"/>
            </w:tcBorders>
          </w:tcPr>
          <w:p>
            <w:pPr>
              <w:spacing w:after="60"/>
            </w:pPr>
            <w:r>
              <w:rPr>
                <w:sz w:val="17"/>
              </w:rPr>
            </w:r>
          </w:p>
        </w:tc>
      </w:tr>
    </w:tbl>
    <w:p>
      <w:pPr>
        <w:pStyle w:val="Heading2"/>
      </w:pPr>
      <w:r>
        <w:t>8.7 30-Day Remediation Roadmap</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136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Timeframe</w:t>
            </w:r>
          </w:p>
        </w:tc>
        <w:tc>
          <w:tcPr>
            <w:tcW w:type="dxa" w:w="1928"/>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Action</w:t>
            </w:r>
          </w:p>
        </w:tc>
        <w:tc>
          <w:tcPr>
            <w:tcW w:type="dxa" w:w="170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Risk addressed</w:t>
            </w:r>
          </w:p>
        </w:tc>
        <w:tc>
          <w:tcPr>
            <w:tcW w:type="dxa" w:w="1304"/>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Owner</w:t>
            </w:r>
          </w:p>
        </w:tc>
        <w:tc>
          <w:tcPr>
            <w:tcW w:type="dxa" w:w="1417"/>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Dependency</w:t>
            </w:r>
          </w:p>
        </w:tc>
        <w:tc>
          <w:tcPr>
            <w:tcW w:type="dxa" w:w="1531"/>
            <w:vAlign w:val="top"/>
            <w:tcBorders>
              <w:top w:sz="4" w:val="single" w:color="D9E2EC"/>
              <w:left w:sz="4" w:val="single" w:color="D9E2EC"/>
              <w:bottom w:sz="4" w:val="single" w:color="D9E2EC"/>
              <w:right w:sz="4" w:val="single" w:color="D9E2EC"/>
            </w:tcBorders>
            <w:shd w:fill="1F4E79"/>
          </w:tcPr>
          <w:p>
            <w:pPr>
              <w:spacing w:after="60"/>
            </w:pPr>
            <w:r>
              <w:rPr>
                <w:b/>
                <w:color w:val="FFFFFF"/>
                <w:sz w:val="15"/>
              </w:rPr>
              <w:t>Success evidence</w:t>
            </w:r>
          </w:p>
        </w:tc>
      </w:tr>
      <w:tr>
        <w:tc>
          <w:tcPr>
            <w:tcW w:type="dxa" w:w="1361"/>
            <w:vAlign w:val="top"/>
            <w:tcBorders>
              <w:top w:sz="4" w:val="single" w:color="D9E2EC"/>
              <w:left w:sz="4" w:val="single" w:color="D9E2EC"/>
              <w:bottom w:sz="4" w:val="single" w:color="D9E2EC"/>
              <w:right w:sz="4" w:val="single" w:color="D9E2EC"/>
            </w:tcBorders>
          </w:tcPr>
          <w:p>
            <w:pPr>
              <w:spacing w:after="60"/>
            </w:pPr>
            <w:r>
              <w:rPr>
                <w:sz w:val="15"/>
              </w:rPr>
              <w:t>Days 1-7</w:t>
            </w:r>
          </w:p>
        </w:tc>
        <w:tc>
          <w:tcPr>
            <w:tcW w:type="dxa" w:w="1928"/>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0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17"/>
            <w:vAlign w:val="top"/>
            <w:tcBorders>
              <w:top w:sz="4" w:val="single" w:color="D9E2EC"/>
              <w:left w:sz="4" w:val="single" w:color="D9E2EC"/>
              <w:bottom w:sz="4" w:val="single" w:color="D9E2EC"/>
              <w:right w:sz="4" w:val="single" w:color="D9E2EC"/>
            </w:tcBorders>
          </w:tcPr>
          <w:p>
            <w:pPr>
              <w:spacing w:after="60"/>
            </w:pPr>
            <w:r>
              <w:rPr>
                <w:sz w:val="15"/>
              </w:rPr>
            </w:r>
          </w:p>
        </w:tc>
        <w:tc>
          <w:tcPr>
            <w:tcW w:type="dxa" w:w="153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361"/>
            <w:vAlign w:val="top"/>
            <w:tcBorders>
              <w:top w:sz="4" w:val="single" w:color="D9E2EC"/>
              <w:left w:sz="4" w:val="single" w:color="D9E2EC"/>
              <w:bottom w:sz="4" w:val="single" w:color="D9E2EC"/>
              <w:right w:sz="4" w:val="single" w:color="D9E2EC"/>
            </w:tcBorders>
          </w:tcPr>
          <w:p>
            <w:pPr>
              <w:spacing w:after="60"/>
            </w:pPr>
            <w:r>
              <w:rPr>
                <w:sz w:val="15"/>
              </w:rPr>
              <w:t>Days 8-14</w:t>
            </w:r>
          </w:p>
        </w:tc>
        <w:tc>
          <w:tcPr>
            <w:tcW w:type="dxa" w:w="1928"/>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0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17"/>
            <w:vAlign w:val="top"/>
            <w:tcBorders>
              <w:top w:sz="4" w:val="single" w:color="D9E2EC"/>
              <w:left w:sz="4" w:val="single" w:color="D9E2EC"/>
              <w:bottom w:sz="4" w:val="single" w:color="D9E2EC"/>
              <w:right w:sz="4" w:val="single" w:color="D9E2EC"/>
            </w:tcBorders>
          </w:tcPr>
          <w:p>
            <w:pPr>
              <w:spacing w:after="60"/>
            </w:pPr>
            <w:r>
              <w:rPr>
                <w:sz w:val="15"/>
              </w:rPr>
            </w:r>
          </w:p>
        </w:tc>
        <w:tc>
          <w:tcPr>
            <w:tcW w:type="dxa" w:w="153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361"/>
            <w:vAlign w:val="top"/>
            <w:tcBorders>
              <w:top w:sz="4" w:val="single" w:color="D9E2EC"/>
              <w:left w:sz="4" w:val="single" w:color="D9E2EC"/>
              <w:bottom w:sz="4" w:val="single" w:color="D9E2EC"/>
              <w:right w:sz="4" w:val="single" w:color="D9E2EC"/>
            </w:tcBorders>
          </w:tcPr>
          <w:p>
            <w:pPr>
              <w:spacing w:after="60"/>
            </w:pPr>
            <w:r>
              <w:rPr>
                <w:sz w:val="15"/>
              </w:rPr>
              <w:t>Days 15-21</w:t>
            </w:r>
          </w:p>
        </w:tc>
        <w:tc>
          <w:tcPr>
            <w:tcW w:type="dxa" w:w="1928"/>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0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17"/>
            <w:vAlign w:val="top"/>
            <w:tcBorders>
              <w:top w:sz="4" w:val="single" w:color="D9E2EC"/>
              <w:left w:sz="4" w:val="single" w:color="D9E2EC"/>
              <w:bottom w:sz="4" w:val="single" w:color="D9E2EC"/>
              <w:right w:sz="4" w:val="single" w:color="D9E2EC"/>
            </w:tcBorders>
          </w:tcPr>
          <w:p>
            <w:pPr>
              <w:spacing w:after="60"/>
            </w:pPr>
            <w:r>
              <w:rPr>
                <w:sz w:val="15"/>
              </w:rPr>
            </w:r>
          </w:p>
        </w:tc>
        <w:tc>
          <w:tcPr>
            <w:tcW w:type="dxa" w:w="1531"/>
            <w:vAlign w:val="top"/>
            <w:tcBorders>
              <w:top w:sz="4" w:val="single" w:color="D9E2EC"/>
              <w:left w:sz="4" w:val="single" w:color="D9E2EC"/>
              <w:bottom w:sz="4" w:val="single" w:color="D9E2EC"/>
              <w:right w:sz="4" w:val="single" w:color="D9E2EC"/>
            </w:tcBorders>
          </w:tcPr>
          <w:p>
            <w:pPr>
              <w:spacing w:after="60"/>
            </w:pPr>
            <w:r>
              <w:rPr>
                <w:sz w:val="15"/>
              </w:rPr>
            </w:r>
          </w:p>
        </w:tc>
      </w:tr>
      <w:tr>
        <w:tc>
          <w:tcPr>
            <w:tcW w:type="dxa" w:w="1361"/>
            <w:vAlign w:val="top"/>
            <w:tcBorders>
              <w:top w:sz="4" w:val="single" w:color="D9E2EC"/>
              <w:left w:sz="4" w:val="single" w:color="D9E2EC"/>
              <w:bottom w:sz="4" w:val="single" w:color="D9E2EC"/>
              <w:right w:sz="4" w:val="single" w:color="D9E2EC"/>
            </w:tcBorders>
          </w:tcPr>
          <w:p>
            <w:pPr>
              <w:spacing w:after="60"/>
            </w:pPr>
            <w:r>
              <w:rPr>
                <w:sz w:val="15"/>
              </w:rPr>
              <w:t>Days 22-30</w:t>
            </w:r>
          </w:p>
        </w:tc>
        <w:tc>
          <w:tcPr>
            <w:tcW w:type="dxa" w:w="1928"/>
            <w:vAlign w:val="top"/>
            <w:tcBorders>
              <w:top w:sz="4" w:val="single" w:color="D9E2EC"/>
              <w:left w:sz="4" w:val="single" w:color="D9E2EC"/>
              <w:bottom w:sz="4" w:val="single" w:color="D9E2EC"/>
              <w:right w:sz="4" w:val="single" w:color="D9E2EC"/>
            </w:tcBorders>
          </w:tcPr>
          <w:p>
            <w:pPr>
              <w:spacing w:after="60"/>
            </w:pPr>
            <w:r>
              <w:rPr>
                <w:sz w:val="15"/>
              </w:rPr>
            </w:r>
          </w:p>
        </w:tc>
        <w:tc>
          <w:tcPr>
            <w:tcW w:type="dxa" w:w="1701"/>
            <w:vAlign w:val="top"/>
            <w:tcBorders>
              <w:top w:sz="4" w:val="single" w:color="D9E2EC"/>
              <w:left w:sz="4" w:val="single" w:color="D9E2EC"/>
              <w:bottom w:sz="4" w:val="single" w:color="D9E2EC"/>
              <w:right w:sz="4" w:val="single" w:color="D9E2EC"/>
            </w:tcBorders>
          </w:tcPr>
          <w:p>
            <w:pPr>
              <w:spacing w:after="60"/>
            </w:pPr>
            <w:r>
              <w:rPr>
                <w:sz w:val="15"/>
              </w:rPr>
            </w:r>
          </w:p>
        </w:tc>
        <w:tc>
          <w:tcPr>
            <w:tcW w:type="dxa" w:w="1304"/>
            <w:vAlign w:val="top"/>
            <w:tcBorders>
              <w:top w:sz="4" w:val="single" w:color="D9E2EC"/>
              <w:left w:sz="4" w:val="single" w:color="D9E2EC"/>
              <w:bottom w:sz="4" w:val="single" w:color="D9E2EC"/>
              <w:right w:sz="4" w:val="single" w:color="D9E2EC"/>
            </w:tcBorders>
          </w:tcPr>
          <w:p>
            <w:pPr>
              <w:spacing w:after="60"/>
            </w:pPr>
            <w:r>
              <w:rPr>
                <w:sz w:val="15"/>
              </w:rPr>
            </w:r>
          </w:p>
        </w:tc>
        <w:tc>
          <w:tcPr>
            <w:tcW w:type="dxa" w:w="1417"/>
            <w:vAlign w:val="top"/>
            <w:tcBorders>
              <w:top w:sz="4" w:val="single" w:color="D9E2EC"/>
              <w:left w:sz="4" w:val="single" w:color="D9E2EC"/>
              <w:bottom w:sz="4" w:val="single" w:color="D9E2EC"/>
              <w:right w:sz="4" w:val="single" w:color="D9E2EC"/>
            </w:tcBorders>
          </w:tcPr>
          <w:p>
            <w:pPr>
              <w:spacing w:after="60"/>
            </w:pPr>
            <w:r>
              <w:rPr>
                <w:sz w:val="15"/>
              </w:rPr>
            </w:r>
          </w:p>
        </w:tc>
        <w:tc>
          <w:tcPr>
            <w:tcW w:type="dxa" w:w="1531"/>
            <w:vAlign w:val="top"/>
            <w:tcBorders>
              <w:top w:sz="4" w:val="single" w:color="D9E2EC"/>
              <w:left w:sz="4" w:val="single" w:color="D9E2EC"/>
              <w:bottom w:sz="4" w:val="single" w:color="D9E2EC"/>
              <w:right w:sz="4" w:val="single" w:color="D9E2EC"/>
            </w:tcBorders>
          </w:tcPr>
          <w:p>
            <w:pPr>
              <w:spacing w:after="60"/>
            </w:pPr>
            <w:r>
              <w:rPr>
                <w:sz w:val="15"/>
              </w:rPr>
            </w:r>
          </w:p>
        </w:tc>
      </w:tr>
    </w:tbl>
    <w:p>
      <w:r>
        <w:br w:type="page"/>
      </w:r>
    </w:p>
    <w:p>
      <w:pPr>
        <w:pStyle w:val="Heading1"/>
      </w:pPr>
      <w:r>
        <w:t>9. Glossary</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984"/>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Term</w:t>
            </w:r>
          </w:p>
        </w:tc>
        <w:tc>
          <w:tcPr>
            <w:tcW w:type="dxa" w:w="7087"/>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Definition</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AKS</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Azure Kubernetes Service; Microsoft managed Kubernetes service for running containerised workloads.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Attack path</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A chain of weaknesses or permissions that could allow an attacker to reach a critical asset.</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CSPM</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Cloud Security Posture Management; capabilities used to identify and prioritise misconfigurations and posture risks.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CWPP</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Cloud Workload Protection Platform; capabilities used to protect workloads such as servers, storage, containers, databases, and AI services.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Defender for Cloud</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Microsoft cloud security platform for posture management, workload protection, recommendations, and regulatory compliance.</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Defender XDR</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Microsoft extended detection and response experience for incidents, alerts, investigation, and response across Microsoft security products.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Entra ID</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Microsoft cloud identity and access management service, formerly Azure Active Directory.</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Least privilege</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Access principle where users and workloads receive only the permissions required for the task.</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Microsoft Foundry</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Microsoft platform for building, deploying, and managing AI applications and models.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Prompt injection</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An attack technique that attempts to manipulate an AI system by inserting malicious or misleading instructions into prompts or content.</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RBAC</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Role-Based Access Control; a method of granting permissions based on assigned roles.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Secure Score</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A posture measurement that helps prioritise improvements in Microsoft security services.</w:t>
            </w:r>
          </w:p>
        </w:tc>
      </w:tr>
      <w:tr>
        <w:tc>
          <w:tcPr>
            <w:tcW w:type="dxa" w:w="1984"/>
            <w:vAlign w:val="top"/>
            <w:tcBorders>
              <w:top w:sz="4" w:val="single" w:color="D9E2EC"/>
              <w:left w:sz="4" w:val="single" w:color="D9E2EC"/>
              <w:bottom w:sz="4" w:val="single" w:color="D9E2EC"/>
              <w:right w:sz="4" w:val="single" w:color="D9E2EC"/>
            </w:tcBorders>
          </w:tcPr>
          <w:p>
            <w:pPr>
              <w:spacing w:after="60"/>
            </w:pPr>
            <w:r>
              <w:rPr>
                <w:sz w:val="17"/>
              </w:rPr>
              <w:t>Zero Trust</w:t>
            </w:r>
          </w:p>
        </w:tc>
        <w:tc>
          <w:tcPr>
            <w:tcW w:type="dxa" w:w="7087"/>
            <w:vAlign w:val="top"/>
            <w:tcBorders>
              <w:top w:sz="4" w:val="single" w:color="D9E2EC"/>
              <w:left w:sz="4" w:val="single" w:color="D9E2EC"/>
              <w:bottom w:sz="4" w:val="single" w:color="D9E2EC"/>
              <w:right w:sz="4" w:val="single" w:color="D9E2EC"/>
            </w:tcBorders>
          </w:tcPr>
          <w:p>
            <w:pPr>
              <w:spacing w:after="60"/>
            </w:pPr>
            <w:r>
              <w:rPr>
                <w:sz w:val="17"/>
              </w:rPr>
              <w:t>Security model based on explicit verification, least privilege, and assumption of breach.</w:t>
            </w:r>
          </w:p>
        </w:tc>
      </w:tr>
    </w:tbl>
    <w:p>
      <w:r>
        <w:br w:type="page"/>
      </w:r>
    </w:p>
    <w:p>
      <w:pPr>
        <w:pStyle w:val="Heading1"/>
      </w:pPr>
      <w:r>
        <w:t>10. Reference and Source Alignment</w:t>
      </w:r>
    </w:p>
    <w:p>
      <w:r>
        <w:t>This manual is aligned to the CESE323 course structure, the Cloud Security Envisioning &amp; Strategy workshop syllabus, the Microsoft Learn collection used for the course, and the pre-course lab readiness requirements.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948"/>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Source</w:t>
            </w:r>
          </w:p>
        </w:tc>
        <w:tc>
          <w:tcPr>
            <w:tcW w:type="dxa" w:w="6123"/>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How it informs the manual</w:t>
            </w:r>
          </w:p>
        </w:tc>
      </w:tr>
      <w:tr>
        <w:tc>
          <w:tcPr>
            <w:tcW w:type="dxa" w:w="2948"/>
            <w:vAlign w:val="top"/>
            <w:tcBorders>
              <w:top w:sz="4" w:val="single" w:color="D9E2EC"/>
              <w:left w:sz="4" w:val="single" w:color="D9E2EC"/>
              <w:bottom w:sz="4" w:val="single" w:color="D9E2EC"/>
              <w:right w:sz="4" w:val="single" w:color="D9E2EC"/>
            </w:tcBorders>
          </w:tcPr>
          <w:p>
            <w:pPr>
              <w:spacing w:after="60"/>
            </w:pPr>
            <w:r>
              <w:rPr>
                <w:sz w:val="17"/>
              </w:rPr>
              <w:t>Cloud Security Envisioning &amp; Strategy Workshop Syllabus</w:t>
            </w:r>
          </w:p>
        </w:tc>
        <w:tc>
          <w:tcPr>
            <w:tcW w:type="dxa" w:w="6123"/>
            <w:vAlign w:val="top"/>
            <w:tcBorders>
              <w:top w:sz="4" w:val="single" w:color="D9E2EC"/>
              <w:left w:sz="4" w:val="single" w:color="D9E2EC"/>
              <w:bottom w:sz="4" w:val="single" w:color="D9E2EC"/>
              <w:right w:sz="4" w:val="single" w:color="D9E2EC"/>
            </w:tcBorders>
          </w:tcPr>
          <w:p>
            <w:pPr>
              <w:spacing w:after="60"/>
            </w:pPr>
            <w:r>
              <w:rPr>
                <w:sz w:val="17"/>
              </w:rPr>
              <w:t>Defines workshop objectives, four-part agenda, hands-on scenarios, live environment review, and workload protection selection.</w:t>
            </w:r>
          </w:p>
        </w:tc>
      </w:tr>
      <w:tr>
        <w:tc>
          <w:tcPr>
            <w:tcW w:type="dxa" w:w="2948"/>
            <w:vAlign w:val="top"/>
            <w:tcBorders>
              <w:top w:sz="4" w:val="single" w:color="D9E2EC"/>
              <w:left w:sz="4" w:val="single" w:color="D9E2EC"/>
              <w:bottom w:sz="4" w:val="single" w:color="D9E2EC"/>
              <w:right w:sz="4" w:val="single" w:color="D9E2EC"/>
            </w:tcBorders>
          </w:tcPr>
          <w:p>
            <w:pPr>
              <w:spacing w:after="60"/>
            </w:pPr>
            <w:r>
              <w:rPr>
                <w:sz w:val="17"/>
              </w:rPr>
              <w:t>Microsoft Learn Collection</w:t>
            </w:r>
          </w:p>
        </w:tc>
        <w:tc>
          <w:tcPr>
            <w:tcW w:type="dxa" w:w="6123"/>
            <w:vAlign w:val="top"/>
            <w:tcBorders>
              <w:top w:sz="4" w:val="single" w:color="D9E2EC"/>
              <w:left w:sz="4" w:val="single" w:color="D9E2EC"/>
              <w:bottom w:sz="4" w:val="single" w:color="D9E2EC"/>
              <w:right w:sz="4" w:val="single" w:color="D9E2EC"/>
            </w:tcBorders>
          </w:tcPr>
          <w:p>
            <w:pPr>
              <w:spacing w:after="60"/>
            </w:pPr>
            <w:r>
              <w:rPr>
                <w:sz w:val="17"/>
              </w:rPr>
              <w:t>Provides the Microsoft Learn learning path and module source context for the course.</w:t>
            </w:r>
          </w:p>
        </w:tc>
      </w:tr>
      <w:tr>
        <w:tc>
          <w:tcPr>
            <w:tcW w:type="dxa" w:w="2948"/>
            <w:vAlign w:val="top"/>
            <w:tcBorders>
              <w:top w:sz="4" w:val="single" w:color="D9E2EC"/>
              <w:left w:sz="4" w:val="single" w:color="D9E2EC"/>
              <w:bottom w:sz="4" w:val="single" w:color="D9E2EC"/>
              <w:right w:sz="4" w:val="single" w:color="D9E2EC"/>
            </w:tcBorders>
          </w:tcPr>
          <w:p>
            <w:pPr>
              <w:spacing w:after="60"/>
            </w:pPr>
            <w:r>
              <w:rPr>
                <w:sz w:val="17"/>
              </w:rPr>
              <w:t>Pre-Course Lab Requirements</w:t>
            </w:r>
          </w:p>
        </w:tc>
        <w:tc>
          <w:tcPr>
            <w:tcW w:type="dxa" w:w="6123"/>
            <w:vAlign w:val="top"/>
            <w:tcBorders>
              <w:top w:sz="4" w:val="single" w:color="D9E2EC"/>
              <w:left w:sz="4" w:val="single" w:color="D9E2EC"/>
              <w:bottom w:sz="4" w:val="single" w:color="D9E2EC"/>
              <w:right w:sz="4" w:val="single" w:color="D9E2EC"/>
            </w:tcBorders>
          </w:tcPr>
          <w:p>
            <w:pPr>
              <w:spacing w:after="60"/>
            </w:pPr>
            <w:r>
              <w:rPr>
                <w:sz w:val="17"/>
              </w:rPr>
              <w:t>Defines student readiness, access, permissions, lab safety, workload-specific prerequisites, and cleanup controls.</w:t>
            </w:r>
          </w:p>
        </w:tc>
      </w:tr>
      <w:tr>
        <w:tc>
          <w:tcPr>
            <w:tcW w:type="dxa" w:w="2948"/>
            <w:vAlign w:val="top"/>
            <w:tcBorders>
              <w:top w:sz="4" w:val="single" w:color="D9E2EC"/>
              <w:left w:sz="4" w:val="single" w:color="D9E2EC"/>
              <w:bottom w:sz="4" w:val="single" w:color="D9E2EC"/>
              <w:right w:sz="4" w:val="single" w:color="D9E2EC"/>
            </w:tcBorders>
          </w:tcPr>
          <w:p>
            <w:pPr>
              <w:spacing w:after="60"/>
            </w:pPr>
            <w:r>
              <w:rPr>
                <w:sz w:val="17"/>
              </w:rPr>
              <w:t>User-defined 12-module structure</w:t>
            </w:r>
          </w:p>
        </w:tc>
        <w:tc>
          <w:tcPr>
            <w:tcW w:type="dxa" w:w="6123"/>
            <w:vAlign w:val="top"/>
            <w:tcBorders>
              <w:top w:sz="4" w:val="single" w:color="D9E2EC"/>
              <w:left w:sz="4" w:val="single" w:color="D9E2EC"/>
              <w:bottom w:sz="4" w:val="single" w:color="D9E2EC"/>
              <w:right w:sz="4" w:val="single" w:color="D9E2EC"/>
            </w:tcBorders>
          </w:tcPr>
          <w:p>
            <w:pPr>
              <w:spacing w:after="60"/>
            </w:pPr>
            <w:r>
              <w:rPr>
                <w:sz w:val="17"/>
              </w:rPr>
              <w:t>Defines the final learner-facing course module sequence from Module 00 to Module 11.</w:t>
            </w:r>
          </w:p>
        </w:tc>
      </w:tr>
    </w:tbl>
    <w:p>
      <w:pPr>
        <w:pStyle w:val="Heading2"/>
      </w:pPr>
      <w:r>
        <w:t>10.1 Recommended Student Learning Sequence</w:t>
      </w:r>
    </w:p>
    <w:p>
      <w:pPr>
        <w:pStyle w:val="ListNumber"/>
        <w:spacing w:after="20"/>
      </w:pPr>
      <w:r>
        <w:t>Complete Course Orientation and confirm access.</w:t>
      </w:r>
    </w:p>
    <w:p>
      <w:pPr>
        <w:pStyle w:val="ListNumber"/>
        <w:spacing w:after="20"/>
      </w:pPr>
      <w:r>
        <w:t>Build the Security Goals Worksheet.</w:t>
      </w:r>
    </w:p>
    <w:p>
      <w:pPr>
        <w:pStyle w:val="ListNumber"/>
        <w:spacing w:after="20"/>
      </w:pPr>
      <w:r>
        <w:t>Create the Microsoft Security Stack Map.</w:t>
      </w:r>
    </w:p>
    <w:p>
      <w:pPr>
        <w:pStyle w:val="ListNumber"/>
        <w:spacing w:after="20"/>
      </w:pPr>
      <w:r>
        <w:t>Complete the Posture Review Checklist.</w:t>
      </w:r>
    </w:p>
    <w:p>
      <w:pPr>
        <w:pStyle w:val="ListNumber"/>
        <w:spacing w:after="20"/>
      </w:pPr>
      <w:r>
        <w:t>Complete the Configuration Readiness Checklist.</w:t>
      </w:r>
    </w:p>
    <w:p>
      <w:pPr>
        <w:pStyle w:val="ListNumber"/>
        <w:spacing w:after="20"/>
      </w:pPr>
      <w:r>
        <w:t>Use the Workload Protection Decision Matrix to select priority workload modules.</w:t>
      </w:r>
    </w:p>
    <w:p>
      <w:pPr>
        <w:pStyle w:val="ListNumber"/>
        <w:spacing w:after="20"/>
      </w:pPr>
      <w:r>
        <w:t>Complete selected workload protection scenario reviews.</w:t>
      </w:r>
    </w:p>
    <w:p>
      <w:pPr>
        <w:pStyle w:val="ListNumber"/>
        <w:spacing w:after="20"/>
      </w:pPr>
      <w:r>
        <w:t>Complete the hands-on security scenarios.</w:t>
      </w:r>
    </w:p>
    <w:p>
      <w:pPr>
        <w:pStyle w:val="ListNumber"/>
        <w:spacing w:after="20"/>
      </w:pPr>
      <w:r>
        <w:t>Submit the final 30-day remediation roadmap.</w:t>
      </w:r>
    </w:p>
    <w:p>
      <w:r>
        <w:br w:type="page"/>
      </w:r>
    </w:p>
    <w:p>
      <w:pPr>
        <w:pStyle w:val="Heading1"/>
      </w:pPr>
      <w:r>
        <w:t>Course Completion Checklist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6803"/>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Completion item</w:t>
            </w:r>
          </w:p>
        </w:tc>
        <w:tc>
          <w:tcPr>
            <w:tcW w:type="dxa" w:w="2268"/>
            <w:vAlign w:val="top"/>
            <w:tcBorders>
              <w:top w:sz="4" w:val="single" w:color="D9E2EC"/>
              <w:left w:sz="4" w:val="single" w:color="D9E2EC"/>
              <w:bottom w:sz="4" w:val="single" w:color="D9E2EC"/>
              <w:right w:sz="4" w:val="single" w:color="D9E2EC"/>
            </w:tcBorders>
            <w:shd w:fill="1F4E79"/>
          </w:tcPr>
          <w:p>
            <w:pPr>
              <w:spacing w:after="60"/>
            </w:pPr>
            <w:r>
              <w:rPr>
                <w:b/>
                <w:color w:val="FFFFFF"/>
                <w:sz w:val="17"/>
              </w:rPr>
              <w:t>Student check</w:t>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understand the course objectives and module structure.</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Security Goals Worksheet.</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Microsoft Security Stack Map.</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Posture Review Checklist.</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Configuration Readiness Checklist.</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Workload Protection Decision Matrix.</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selected workload scenario reviews.</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Hands-On Security Scenarios worksheet.</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completed the 30-Day Remediation Roadmap.</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r>
        <w:tc>
          <w:tcPr>
            <w:tcW w:type="dxa" w:w="6803"/>
            <w:vAlign w:val="top"/>
            <w:tcBorders>
              <w:top w:sz="4" w:val="single" w:color="D9E2EC"/>
              <w:left w:sz="4" w:val="single" w:color="D9E2EC"/>
              <w:bottom w:sz="4" w:val="single" w:color="D9E2EC"/>
              <w:right w:sz="4" w:val="single" w:color="D9E2EC"/>
            </w:tcBorders>
          </w:tcPr>
          <w:p>
            <w:pPr>
              <w:spacing w:after="60"/>
            </w:pPr>
            <w:r>
              <w:rPr>
                <w:sz w:val="17"/>
              </w:rPr>
              <w:t>I understand cleanup, cost, and data-handling responsibilities after labs.</w:t>
            </w:r>
          </w:p>
        </w:tc>
        <w:tc>
          <w:tcPr>
            <w:tcW w:type="dxa" w:w="2268"/>
            <w:vAlign w:val="top"/>
            <w:tcBorders>
              <w:top w:sz="4" w:val="single" w:color="D9E2EC"/>
              <w:left w:sz="4" w:val="single" w:color="D9E2EC"/>
              <w:bottom w:sz="4" w:val="single" w:color="D9E2EC"/>
              <w:right w:sz="4" w:val="single" w:color="D9E2EC"/>
            </w:tcBorders>
          </w:tcPr>
          <w:p>
            <w:pPr>
              <w:spacing w:after="60"/>
            </w:pPr>
            <w:r>
              <w:rPr>
                <w:sz w:val="17"/>
              </w:rPr>
            </w:r>
          </w:p>
        </w:tc>
      </w:tr>
    </w:tbl>
    <w:tbl>
      <w:tblPr>
        <w:tblW w:type="auto" w:w="0"/>
        <w:jc w:val="center"/>
        <w:tblLook w:firstColumn="1" w:firstRow="1" w:lastColumn="0" w:lastRow="0" w:noHBand="0" w:noVBand="1" w:val="04A0"/>
      </w:tblPr>
      <w:tblGrid>
        <w:gridCol w:w="9978"/>
      </w:tblGrid>
      <w:tr>
        <w:tc>
          <w:tcPr>
            <w:tcW w:type="dxa" w:w="9978"/>
            <w:shd w:fill="EAF5FB"/>
            <w:tcBorders>
              <w:top w:sz="8" w:val="single" w:color="00A3E0"/>
              <w:left w:sz="8" w:val="single" w:color="00A3E0"/>
              <w:bottom w:sz="8" w:val="single" w:color="00A3E0"/>
              <w:right w:sz="8" w:val="single" w:color="00A3E0"/>
            </w:tcBorders>
            <w:vAlign w:val="center"/>
          </w:tcPr>
          <w:p>
            <w:pPr>
              <w:spacing w:after="40"/>
            </w:pPr>
            <w:r>
              <w:rPr>
                <w:b/>
                <w:color w:val="1F4E79"/>
                <w:sz w:val="20"/>
              </w:rPr>
              <w:t>End of manual</w:t>
            </w:r>
          </w:p>
          <w:p>
            <w:pPr>
              <w:spacing w:after="60"/>
            </w:pPr>
            <w:r>
              <w:rPr>
                <w:sz w:val="18"/>
              </w:rPr>
              <w:t>This manual supports the learner journey for CESE323 ERC1.0. Keep your completed worksheets as evidence of course completion and as inputs to your post-course remediation planning.</w:t>
            </w:r>
          </w:p>
        </w:tc>
      </w:tr>
    </w:tbl>
    <w:p/>
    <w:sectPr w:rsidR="00FC693F" w:rsidRPr="0006063C" w:rsidSect="00034616">
      <w:headerReference w:type="default" r:id="rId9"/>
      <w:footerReference w:type="default" r:id="rId10"/>
      <w:pgSz w:w="11906" w:h="16838"/>
      <w:pgMar w:top="907"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Student Course Manual | Page </w:t>
    </w:r>
    <w:r>
      <w:rPr>
        <w:color w:val="667085"/>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CESE323 ERC1.0 - Cloud Security Envisioning &amp; Strategy | Student Course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40"/>
    </w:pPr>
    <w:rPr>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CESE323 ERC1.0 - Cloud Security Envisioning &amp; Strategy - Student Course Manual</dc:title>
  <dc:subject>Student course manual for Cloud Security Envisioning &amp; Strategy</dc:subject>
  <dc:creator>Skunkworks Academy</dc:creator>
  <cp:keywords>CESE323, Cloud Security, Microsoft Defender for Cloud, CSPM, Workload Protection, AI Security</cp:keywords>
  <dc:description>Generated as student-facing courseware.</dc:description>
  <cp:lastModifiedBy>Skunkworks Academy</cp:lastModifiedBy>
  <cp:revision>1</cp:revision>
  <dcterms:created xsi:type="dcterms:W3CDTF">2013-12-23T23:15:00Z</dcterms:created>
  <dcterms:modified xsi:type="dcterms:W3CDTF">2013-12-23T23:15:00Z</dcterms:modified>
  <cp:category/>
</cp:coreProperties>
</file>