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  <w:gridCol w:w="2880"/>
      </w:tblGrid>
      <w:tr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rFonts w:ascii="Georgia" w:hAnsi="Georgia"/>
                <w:b/>
                <w:color w:val="981E26"/>
                <w:sz w:val="38"/>
              </w:rPr>
              <w:t>VALHALLA TAX SERVICES</w:t>
              <w:br/>
            </w:r>
            <w:r>
              <w:rPr>
                <w:rFonts w:ascii="Georgia" w:hAnsi="Georgia"/>
                <w:b/>
                <w:sz w:val="30"/>
              </w:rPr>
              <w:t>Comprehensive Tax Strategy Report</w:t>
            </w:r>
          </w:p>
        </w:tc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23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halla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/>
      </w:pPr>
      <w:r>
        <w:rPr>
          <w:rFonts w:ascii="Georgia" w:hAnsi="Georgia"/>
          <w:b w:val="0"/>
          <w:i w:val="0"/>
          <w:color w:val="000000"/>
          <w:sz w:val="20"/>
        </w:rPr>
        <w:t>Client: Test Client</w:t>
        <w:br/>
      </w:r>
      <w:r>
        <w:rPr>
          <w:rFonts w:ascii="Georgia" w:hAnsi="Georgia"/>
          <w:b w:val="0"/>
          <w:i w:val="0"/>
          <w:color w:val="000000"/>
          <w:sz w:val="20"/>
        </w:rPr>
        <w:t>Tax Year: 2025</w:t>
        <w:br/>
      </w:r>
      <w:r>
        <w:rPr>
          <w:rFonts w:ascii="Georgia" w:hAnsi="Georgia"/>
          <w:b w:val="0"/>
          <w:i w:val="0"/>
          <w:color w:val="000000"/>
          <w:sz w:val="20"/>
        </w:rPr>
        <w:t>Prepared by: Scott Kunz, ChFC, TPCP, Enrolled Agent and Financial Advisor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Advisor Summary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This plan uses dynamic strategy logic and ROI scoring to prioritize the highest-value planning opportunities based on the client facts supplied.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Potential Future Annual Tax Savings Identified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$15,000-$30,000+ depending on income growth, documentation quality, entity timing, retirement funding, vehicle strategy, and implementation discipline.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Current Position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Opportunity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Federal Income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Taxable exposure exists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Focus planning on the highest-impact tax driver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$24,000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Reduce future tax drag as income changes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Schedule C Net Profit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$95,000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toward retirement/entity planning trigger points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Refund / Balance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withholding and cash-flow predictability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Top Planning Focus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 strategy prioritization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Use ranked recommendations and implementation timeline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TAX OPPORTUNITY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Current Tax Efficiency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Potential Optimized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Advisor Read</w:t>
            </w:r>
          </w:p>
        </w:tc>
      </w:tr>
      <w:tr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72/100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96/100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The current tax structure contains identifiable planning opportunities that may improve long-term tax efficiency, cash-flow control, and wealth accumulation if implemented properly.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CONFIRMED TAX 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Filing Status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Dependents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AGI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Taxable Income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Total Tax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Refund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MFJ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$185,000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$142,000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$24,000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</w:tr>
    </w:tbl>
    <w:p>
      <w:pPr>
        <w:spacing w:before="0" w:after="80"/>
      </w:pPr>
      <w:r>
        <w:rPr>
          <w:rFonts w:ascii="Georgia" w:hAnsi="Georgia"/>
          <w:b w:val="0"/>
          <w:i/>
          <w:color w:val="555555"/>
          <w:sz w:val="16"/>
        </w:rPr>
        <w:t>Source reviewed: filed income tax return and supplied planning facts. Amounts should be verified against final filed copies before implementation.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SUMMARY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planning engine identifies which strategies are most relevant based on the supplied client fact pattern.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Priority actions are ranked using estimated impact, timing, implementation difficulty, and ROI scoring.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report is designed to convert tax preparation facts into proactive advisory recommendations.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highest-value planning opportunities are highlighted first so the client knows what to act 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Primary Planning Message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The objective is to prioritize the strategies that produce the highest planning value and convert them into a clear implementation path.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CURRENT FEDERAL TAX ANALYSIS</w:t>
      </w:r>
    </w:p>
    <w:p>
      <w:pPr>
        <w:spacing w:before="0" w:after="80"/>
      </w:pPr>
      <w:r>
        <w:rPr>
          <w:rFonts w:ascii="Georgia" w:hAnsi="Georgia"/>
          <w:b/>
          <w:i w:val="0"/>
          <w:color w:val="000000"/>
          <w:sz w:val="19"/>
        </w:rPr>
        <w:t>Tax Burden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Adjusted gross income: $185,000.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Taxable income: $142,000.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Total tax: $24,000.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Planning focus should be directed toward the highest-impact tax driver rather than generic deductions.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SCHEDULE C BUSINESS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Business Metric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Advisor Read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Priority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Gross Revenue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$280,000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Strong activity level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structure around growth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Expenses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~$185,000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Expense ratio appears moderate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substantiation and business purpose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Net Profit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$95,000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About 33.9% margin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profitability without losing tax control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Contract Labor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if material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1099/W-2 classification and documentation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Schedule C Risk Point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Business-owner planning should focus on documentation, entity timing, retirement plan integration, and self-employment tax management.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PLANNING VISUALS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a16mmj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zxlm7n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TOP PRIORITY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Impact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$11,360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tax brackets may support partial Roth conversion opportunities with long-term tax diversification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$4,655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income supports additional retirement contribution capacity with immediate federal and Arizona tax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$4,360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profitability suggests self-employment tax exposure is becoming material enough to justify formal entity modeling.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$2,700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Strategic harvesting and bracket management may improve long-term capital gain efficiency.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Managing future Medicare premium thresholds may create meaningful retirement cash-flow improvements.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Schedule C Documentation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$3,000-$10,000 risk protection value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Immediate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Protects existing deductions and reduces audit exposure.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Evaluate 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$5,000-$15,000 annually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90 days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Self-employment tax exposure becomes material at higher profitability levels.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ROI-RANKED STRATEGY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Strategy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Savings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$11,360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90/100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$4,655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89/100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$4,360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82/100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$2,700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76/100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70/100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CLIENT-SPECIFIC STRATEGY MODULES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Business Owner Strategy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planning should focus on documentation quality, retirement integration, contractor compliance, and long-term entity transition readiness. The business currently produces self-employment tax exposure that may eventually justify payroll optimization and S-Corp planning.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Feasibility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appears high enough to begin formal S-Corporation modeling. A detailed reasonable compensation analysis should be completed before implementation.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return includes capital gain activity. Future planning should monitor gain recognition timing, tax-loss harvesting opportunities, and long-term capital gain bracket utilization.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Retirement Tax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Retirement accounts create opportunities for tax bracket management, Roth conversion planning, and future required minimum distribution mitigation.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Medicare and IRMAA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Future income levels should be monitored carefully to manage Medicare premium surcharge thresholds and optimize long-term retirement cash flow.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ADVISOR ROI COMMENTARY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Roth Conversion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tax brackets may support partial Roth conversion opportunities with long-term tax diversification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Solo 401(k) / SEP IRA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income supports additional retirement contribution capacity with immediate federal and Arizona tax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Election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suggests self-employment tax exposure is becoming material enough to justify formal entity modeling.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Optimization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Strategic harvesting and bracket management may improve long-term capital gain efficiency.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IRMAA Threshold Management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Managing future Medicare premium thresholds may create meaningful retirement cash-flow improvements.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DO THIS NOW CHECKLIST AND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Action Items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30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Address the highest-ranked action items and gather supporting documentation.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Create immediate momentum and reduce implementation risk.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90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Model larger strategies such as entity structure, retirement contributions, withholding, and investment tax planning.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Convert recommendations into measurable planning decisions.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12 Months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progress quarterly and update the strategy as income, deductions, and family facts change.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Turn the report into a recurring advisory process.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Do This Now - Advisor Directive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Start with the highest-ranked recommendations. The purpose of this report is to convert tax data into an actionable implementation plan, not simply summarize the return.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FINAL ADVISOR RECOMMENDATION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strongest planning value comes from prioritizing the right strategies in the right order. This report identifies the actions most likely to improve tax efficiency, reduce compliance risk, improve cash-flow predictability, and support long-term wealth building.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PREPARED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7E9E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000000"/>
                <w:sz w:val="17"/>
              </w:rPr>
              <w:t>Scott Kunz, ChFC, TPCP</w:t>
              <w:br/>
              <w:t>Enrolled Agent and Financial Advisor</w:t>
              <w:br/>
              <w:t>Valhalla Tax Services</w:t>
            </w:r>
          </w:p>
        </w:tc>
        <w:tc>
          <w:tcPr>
            <w:tcW w:type="dxa" w:w="7128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7055 W Bell Rd, Suite B20, Glendale, AZ 85308</w:t>
              <w:br/>
              <w:t>(623) 887-7921</w:t>
              <w:br/>
              <w:t>skunz@valhallataxservice.com</w:t>
              <w:br/>
              <w:t>www.valhallataxservice.com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IMPORTANT PLANNING NOTES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555555"/>
          <w:sz w:val="17"/>
        </w:rPr>
        <w:t>The savings estimates in this report are planning illustrations, not guaranteed outcomes. Actual results depend on final income, filing status, business-use percentages, payroll requirements, documentation, entity costs, state law, and implementation timing. Strategies involving children, contractors, retirement plans, vehicle deductions, and S-Corp elections should be implemented with proper documentation and professional review.</w:t>
      </w:r>
    </w:p>
    <w:sectPr w:rsidR="00FC693F" w:rsidRPr="0006063C" w:rsidSect="00034616">
      <w:footerReference w:type="default" r:id="rId9"/>
      <w:pgSz w:w="15840" w:h="12240" w:orient="landscape"/>
      <w:pgMar w:top="648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jc w:val="center"/>
    </w:pPr>
    <w:r>
      <w:rPr>
        <w:rFonts w:ascii="Georgia" w:hAnsi="Georgia"/>
        <w:b w:val="0"/>
        <w:i w:val="0"/>
        <w:color w:val="777777"/>
        <w:sz w:val="15"/>
      </w:rPr>
      <w:t>Prepared by Scott Kunz, ChFC, TPCP, Enrolled Agent and Financial Advisor | Confidential client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