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12"/>
        <w:gridCol w:w="2880"/>
      </w:tblGrid>
      <w:tr>
        <w:tc>
          <w:tcPr>
            <w:tcW w:type="dxa" w:w="71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>
              <w:rPr>
                <w:rFonts w:ascii="Georgia" w:hAnsi="Georgia"/>
                <w:b/>
                <w:color w:val="981E26"/>
                <w:sz w:val="38"/>
              </w:rPr>
              <w:t>VALHALLA TAX SERVICES</w:t>
              <w:br/>
            </w:r>
            <w:r>
              <w:rPr>
                <w:rFonts w:ascii="Georgia" w:hAnsi="Georgia"/>
                <w:b/>
                <w:sz w:val="30"/>
              </w:rPr>
              <w:t>Comprehensive Tax Strategy Report</w:t>
            </w:r>
          </w:p>
        </w:tc>
        <w:tc>
          <w:tcPr>
            <w:tcW w:type="dxa" w:w="71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34440" cy="12323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halla_log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60"/>
      </w:pPr>
      <w:r>
        <w:rPr>
          <w:rFonts w:ascii="Georgia" w:hAnsi="Georgia"/>
          <w:b w:val="0"/>
          <w:i w:val="0"/>
          <w:color w:val="000000"/>
          <w:sz w:val="20"/>
        </w:rPr>
        <w:t>Client: Test Client</w:t>
        <w:br/>
      </w:r>
      <w:r>
        <w:rPr>
          <w:rFonts w:ascii="Georgia" w:hAnsi="Georgia"/>
          <w:b w:val="0"/>
          <w:i w:val="0"/>
          <w:color w:val="000000"/>
          <w:sz w:val="20"/>
        </w:rPr>
        <w:t>Tax Year: 2025</w:t>
        <w:br/>
      </w:r>
      <w:r>
        <w:rPr>
          <w:rFonts w:ascii="Georgia" w:hAnsi="Georgia"/>
          <w:b w:val="0"/>
          <w:i w:val="0"/>
          <w:color w:val="000000"/>
          <w:sz w:val="20"/>
        </w:rPr>
        <w:t>Prepared by: Scott Kunz, ChFC, TPCP, Enrolled Agent and Financial Advisor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7E9EA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Advisor Summary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This plan uses dynamic strategy logic and ROI scoring to prioritize the highest-value planning opportunities based on the client facts supplied.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7DD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Potential Future Annual Tax Savings Identified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$15,000-$30,000+ depending on income growth, documentation quality, entity timing, retirement funding, vehicle strategy, and implementation discipline.</w:t>
            </w:r>
          </w:p>
        </w:tc>
      </w:tr>
    </w:tbl>
    <w:p/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EXECUTIVE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Current Position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Planning Opportunity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Federal Income Tax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Taxable exposure exists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Focus planning on the highest-impact tax driver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Total Tax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$24,000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Reduce future tax drag as income changes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Schedule C Net Profit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$95,000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Build toward retirement/entity planning trigger points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Refund / Balance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$1,200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Improve withholding and cash-flow predictability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Top Planning Focus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Tax strategy prioritization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Use ranked recommendations and implementation timeline</w:t>
            </w:r>
          </w:p>
        </w:tc>
      </w:tr>
    </w:tbl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TAX OPPORTUNITY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8"/>
              </w:rPr>
              <w:t>Current Tax Efficiency Score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8"/>
              </w:rPr>
              <w:t>Potential Optimized Score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8"/>
              </w:rPr>
              <w:t>Advisor Read</w:t>
            </w:r>
          </w:p>
        </w:tc>
      </w:tr>
      <w:tr>
        <w:tc>
          <w:tcPr>
            <w:tcW w:type="dxa" w:w="4752"/>
            <w:shd w:fill="FFF7D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8"/>
              </w:rPr>
              <w:t>72/100</w:t>
            </w:r>
          </w:p>
        </w:tc>
        <w:tc>
          <w:tcPr>
            <w:tcW w:type="dxa" w:w="4752"/>
            <w:shd w:fill="FFF7D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8"/>
              </w:rPr>
              <w:t>96/100</w:t>
            </w:r>
          </w:p>
        </w:tc>
        <w:tc>
          <w:tcPr>
            <w:tcW w:type="dxa" w:w="4752"/>
            <w:shd w:fill="FFF7D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8"/>
              </w:rPr>
              <w:t>The current tax structure contains identifiable planning opportunities that may improve long-term tax efficiency, cash-flow control, and wealth accumulation if implemented properly.</w:t>
            </w:r>
          </w:p>
        </w:tc>
      </w:tr>
    </w:tbl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CONFIRMED TAX 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Filing Status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Dependents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AGI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Taxable Income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Total Tax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Refund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MFJ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$185,000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$142,000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$24,000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$1,200</w:t>
            </w:r>
          </w:p>
        </w:tc>
      </w:tr>
    </w:tbl>
    <w:p>
      <w:pPr>
        <w:spacing w:before="0" w:after="80"/>
      </w:pPr>
      <w:r>
        <w:rPr>
          <w:rFonts w:ascii="Georgia" w:hAnsi="Georgia"/>
          <w:b w:val="0"/>
          <w:i/>
          <w:color w:val="555555"/>
          <w:sz w:val="16"/>
        </w:rPr>
        <w:t>Source reviewed: filed income tax return and supplied planning facts. Amounts should be verified against final filed copies before implementation.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EXECUTIVE SUMMARY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The planning engine identifies which strategies are most relevant based on the supplied client fact pattern.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Priority actions are ranked using estimated impact, timing, implementation difficulty, and ROI scoring.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The report is designed to convert tax preparation facts into proactive advisory recommendations.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The highest-value planning opportunities are highlighted first so the client knows what to act 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7E9EA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Primary Planning Message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The objective is to prioritize the strategies that produce the highest planning value and convert them into a clear implementation path.</w:t>
            </w:r>
          </w:p>
        </w:tc>
      </w:tr>
    </w:tbl>
    <w:p/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CURRENT FEDERAL TAX ANALYSIS</w:t>
      </w:r>
    </w:p>
    <w:p>
      <w:pPr>
        <w:spacing w:before="0" w:after="80"/>
      </w:pPr>
      <w:r>
        <w:rPr>
          <w:rFonts w:ascii="Georgia" w:hAnsi="Georgia"/>
          <w:b/>
          <w:i w:val="0"/>
          <w:color w:val="000000"/>
          <w:sz w:val="19"/>
        </w:rPr>
        <w:t>Tax Burden Analysis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Adjusted gross income: $185,000.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Taxable income: $142,000.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Total tax: $24,000.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Planning focus should be directed toward the highest-impact tax driver rather than generic deductions.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SCHEDULE C BUSINESS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Business Metric</w:t>
            </w:r>
          </w:p>
        </w:tc>
        <w:tc>
          <w:tcPr>
            <w:tcW w:type="dxa" w:w="3564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3564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Advisor Read</w:t>
            </w:r>
          </w:p>
        </w:tc>
        <w:tc>
          <w:tcPr>
            <w:tcW w:type="dxa" w:w="3564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Planning Priority</w:t>
            </w:r>
          </w:p>
        </w:tc>
      </w:tr>
      <w:tr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Gross Revenue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$280,000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Strong activity level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Build structure around growth</w:t>
            </w:r>
          </w:p>
        </w:tc>
      </w:tr>
      <w:tr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Total Expenses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~$185,000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Expense ratio appears moderate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Confirm substantiation and business purpose</w:t>
            </w:r>
          </w:p>
        </w:tc>
      </w:tr>
      <w:tr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Net Profit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$95,000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About 33.9% margin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Improve profitability without losing tax control</w:t>
            </w:r>
          </w:p>
        </w:tc>
      </w:tr>
      <w:tr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Contract Labor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$0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Review if material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Confirm 1099/W-2 classification and documentation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7DD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Schedule C Risk Point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Business-owner planning should focus on documentation, entity timing, retirement plan integration, and self-employment tax management.</w:t>
            </w:r>
          </w:p>
        </w:tc>
      </w:tr>
    </w:tbl>
    <w:p/>
    <w:p>
      <w:r>
        <w:br w:type="page"/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PLANNING VISUALS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86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l06hbb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8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86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bmaj7g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8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TOP PRIORITY 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Estimated Impact</w:t>
            </w:r>
          </w:p>
        </w:tc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Roth Conversion Analysis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$11,360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Low-Income Years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tax brackets may support partial Roth conversion opportunities with long-term tax diversification benefits.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Solo 401(k) / SEP IRA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$4,655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Year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income supports additional retirement contribution capacity with immediate federal and Arizona tax benefits.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S-Corporation Election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$4,360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Within 12 Months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profitability suggests self-employment tax exposure is becoming material enough to justify formal entity modeling.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Capital Gain Optimization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$2,700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Before Year-End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Strategic harvesting and bracket management may improve long-term capital gain efficiency.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IRMAA Threshold Management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$2,400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Multi-Year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Managing future Medicare premium thresholds may create meaningful retirement cash-flow improvements.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Schedule C Documentation Optimization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$3,000-$10,000 risk protection value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Immediate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Protects existing deductions and reduces audit exposure.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Evaluate S-Corporation Election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$5,000-$15,000 annually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Within 90 days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Self-employment tax exposure becomes material at higher profitability levels.</w:t>
            </w:r>
          </w:p>
        </w:tc>
      </w:tr>
    </w:tbl>
    <w:p>
      <w:r>
        <w:br w:type="page"/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ROI-RANKED STRATEGY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Strategy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Estimated Savings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Timeline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Roth Conversion Analysis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$11,360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90/100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Low-Income Years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Solo 401(k) / SEP IRA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$4,655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89/100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Low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Year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S-Corporation Election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$4,360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82/100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Within 12 Months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Capital Gain Optimization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$2,700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76/100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Low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Before Year-End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IRMAA Threshold Management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$2,400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70/100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Multi-Year</w:t>
            </w:r>
          </w:p>
        </w:tc>
      </w:tr>
    </w:tbl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CLIENT-SPECIFIC STRATEGY MODULES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Business Owner Strategy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planning should focus on documentation quality, retirement integration, contractor compliance, and long-term entity transition readiness. The business currently produces self-employment tax exposure that may eventually justify payroll optimization and S-Corp planning.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S-Corporation Feasibility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profitability appears high enough to begin formal S-Corporation modeling. A detailed reasonable compensation analysis should be completed before implementation.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Capital Gain Planning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The return includes capital gain activity. Future planning should monitor gain recognition timing, tax-loss harvesting opportunities, and long-term capital gain bracket utilization.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Retirement Tax Planning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Retirement accounts create opportunities for tax bracket management, Roth conversion planning, and future required minimum distribution mitigation.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Medicare and IRMAA Planning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Future income levels should be monitored carefully to manage Medicare premium surcharge thresholds and optimize long-term retirement cash flow.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ADVISOR ROI COMMENTARY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Roth Conversion Analysis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tax brackets may support partial Roth conversion opportunities with long-term tax diversification benefits.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Solo 401(k) / SEP IRA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income supports additional retirement contribution capacity with immediate federal and Arizona tax benefits.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S-Corporation Election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profitability suggests self-employment tax exposure is becoming material enough to justify formal entity modeling.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Capital Gain Optimization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Strategic harvesting and bracket management may improve long-term capital gain efficiency.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IRMAA Threshold Management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Managing future Medicare premium thresholds may create meaningful retirement cash-flow improvements.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DO THIS NOW CHECKLIST AND IMPLEMENTATION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Action Items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Next 30 Days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Address the highest-ranked action items and gather supporting documentation.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Create immediate momentum and reduce implementation risk.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Next 90 Days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Model larger strategies such as entity structure, retirement contributions, withholding, and investment tax planning.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Convert recommendations into measurable planning decisions.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Next 12 Months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Review progress quarterly and update the strategy as income, deductions, and family facts change.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Turn the report into a recurring advisory process.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7DD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Do This Now - Advisor Directive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Start with the highest-ranked recommendations. The purpose of this report is to convert tax data into an actionable implementation plan, not simply summarize the return.</w:t>
            </w:r>
          </w:p>
        </w:tc>
      </w:tr>
    </w:tbl>
    <w:p/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FINAL ADVISOR RECOMMENDATION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The strongest planning value comes from prioritizing the right strategies in the right order. This report identifies the actions most likely to improve tax efficiency, reduce compliance risk, improve cash-flow predictability, and support long-term wealth building.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PREPARED BY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F7E9E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000000"/>
                <w:sz w:val="17"/>
              </w:rPr>
              <w:t>Scott Kunz, ChFC, TPCP</w:t>
              <w:br/>
              <w:t>Enrolled Agent and Financial Advisor</w:t>
              <w:br/>
              <w:t>Valhalla Tax Services</w:t>
            </w:r>
          </w:p>
        </w:tc>
        <w:tc>
          <w:tcPr>
            <w:tcW w:type="dxa" w:w="7128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7055 W Bell Rd, Suite B20, Glendale, AZ 85308</w:t>
              <w:br/>
              <w:t>(623) 887-7921</w:t>
              <w:br/>
              <w:t>skunz@valhallataxservice.com</w:t>
              <w:br/>
              <w:t>www.valhallataxservice.com</w:t>
            </w:r>
          </w:p>
        </w:tc>
      </w:tr>
    </w:tbl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IMPORTANT PLANNING NOTES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555555"/>
          <w:sz w:val="17"/>
        </w:rPr>
        <w:t>The savings estimates in this report are planning illustrations, not guaranteed outcomes. Actual results depend on final income, filing status, business-use percentages, payroll requirements, documentation, entity costs, state law, and implementation timing. Strategies involving children, contractors, retirement plans, vehicle deductions, and S-Corp elections should be implemented with proper documentation and professional review.</w:t>
      </w:r>
    </w:p>
    <w:sectPr w:rsidR="00FC693F" w:rsidRPr="0006063C" w:rsidSect="00034616">
      <w:footerReference w:type="default" r:id="rId9"/>
      <w:pgSz w:w="15840" w:h="12240" w:orient="landscape"/>
      <w:pgMar w:top="648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80"/>
      <w:jc w:val="center"/>
    </w:pPr>
    <w:r>
      <w:rPr>
        <w:rFonts w:ascii="Georgia" w:hAnsi="Georgia"/>
        <w:b w:val="0"/>
        <w:i w:val="0"/>
        <w:color w:val="777777"/>
        <w:sz w:val="15"/>
      </w:rPr>
      <w:t>Prepared by Scott Kunz, ChFC, TPCP, Enrolled Agent and Financial Advisor | Confidential client planning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