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512"/>
        <w:gridCol w:w="2880"/>
      </w:tblGrid>
      <w:tr>
        <w:tc>
          <w:tcPr>
            <w:tcW w:type="dxa" w:w="7128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r>
              <w:rPr>
                <w:rFonts w:ascii="Georgia" w:hAnsi="Georgia"/>
                <w:b/>
                <w:color w:val="981E26"/>
                <w:sz w:val="38"/>
              </w:rPr>
              <w:t>VALHALLA TAX SERVICES</w:t>
              <w:br/>
            </w:r>
            <w:r>
              <w:rPr>
                <w:rFonts w:ascii="Georgia" w:hAnsi="Georgia"/>
                <w:b/>
                <w:sz w:val="30"/>
              </w:rPr>
              <w:t>Comprehensive Tax Strategy Report</w:t>
            </w:r>
          </w:p>
        </w:tc>
        <w:tc>
          <w:tcPr>
            <w:tcW w:type="dxa" w:w="7128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234440" cy="123232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alhalla_logo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12323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160"/>
      </w:pPr>
      <w:r>
        <w:rPr>
          <w:rFonts w:ascii="Georgia" w:hAnsi="Georgia"/>
          <w:b w:val="0"/>
          <w:i w:val="0"/>
          <w:color w:val="000000"/>
          <w:sz w:val="20"/>
        </w:rPr>
        <w:t>Client: Nathan Deratany</w:t>
        <w:br/>
      </w:r>
      <w:r>
        <w:rPr>
          <w:rFonts w:ascii="Georgia" w:hAnsi="Georgia"/>
          <w:b w:val="0"/>
          <w:i w:val="0"/>
          <w:color w:val="000000"/>
          <w:sz w:val="20"/>
        </w:rPr>
        <w:t>Tax Year: 2025</w:t>
        <w:br/>
      </w:r>
      <w:r>
        <w:rPr>
          <w:rFonts w:ascii="Georgia" w:hAnsi="Georgia"/>
          <w:b w:val="0"/>
          <w:i w:val="0"/>
          <w:color w:val="000000"/>
          <w:sz w:val="20"/>
        </w:rPr>
        <w:t>Prepared by: Scott Kunz, ChFC, TPCP, Enrolled Agent and Financial Advisor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256"/>
      </w:tblGrid>
      <w:tr>
        <w:tc>
          <w:tcPr>
            <w:tcW w:type="dxa" w:w="14256"/>
            <w:shd w:fill="F7E9EA"/>
            <w:tcBorders>
              <w:top w:val="single" w:sz="6" w:space="0" w:color="E5C4C7"/>
              <w:left w:val="single" w:sz="6" w:space="0" w:color="E5C4C7"/>
              <w:bottom w:val="single" w:sz="6" w:space="0" w:color="E5C4C7"/>
              <w:right w:val="single" w:sz="6" w:space="0" w:color="E5C4C7"/>
            </w:tcBorders>
          </w:tcPr>
          <w:p>
            <w:r>
              <w:rPr>
                <w:rFonts w:ascii="Georgia" w:hAnsi="Georgia"/>
                <w:b/>
                <w:color w:val="981E26"/>
                <w:sz w:val="20"/>
              </w:rPr>
              <w:t>Advisor Summary</w:t>
            </w:r>
          </w:p>
          <w:p>
            <w:pPr>
              <w:spacing w:before="0" w:after="0"/>
            </w:pPr>
            <w:r>
              <w:rPr>
                <w:rFonts w:ascii="Georgia" w:hAnsi="Georgia"/>
                <w:b w:val="0"/>
                <w:i w:val="0"/>
                <w:color w:val="000000"/>
                <w:sz w:val="18"/>
              </w:rPr>
              <w:t>This plan uses dynamic strategy logic and ROI scoring to prioritize the highest-value planning opportunities based on the client facts supplied.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256"/>
      </w:tblGrid>
      <w:tr>
        <w:tc>
          <w:tcPr>
            <w:tcW w:type="dxa" w:w="14256"/>
            <w:shd w:fill="FFF7DD"/>
            <w:tcBorders>
              <w:top w:val="single" w:sz="6" w:space="0" w:color="E5C4C7"/>
              <w:left w:val="single" w:sz="6" w:space="0" w:color="E5C4C7"/>
              <w:bottom w:val="single" w:sz="6" w:space="0" w:color="E5C4C7"/>
              <w:right w:val="single" w:sz="6" w:space="0" w:color="E5C4C7"/>
            </w:tcBorders>
          </w:tcPr>
          <w:p>
            <w:r>
              <w:rPr>
                <w:rFonts w:ascii="Georgia" w:hAnsi="Georgia"/>
                <w:b/>
                <w:color w:val="981E26"/>
                <w:sz w:val="20"/>
              </w:rPr>
              <w:t>Potential Future Annual Tax Savings Identified</w:t>
            </w:r>
          </w:p>
          <w:p>
            <w:pPr>
              <w:spacing w:before="0" w:after="0"/>
            </w:pPr>
            <w:r>
              <w:rPr>
                <w:rFonts w:ascii="Georgia" w:hAnsi="Georgia"/>
                <w:b w:val="0"/>
                <w:i w:val="0"/>
                <w:color w:val="000000"/>
                <w:sz w:val="18"/>
              </w:rPr>
              <w:t>$15,000-$30,000+ depending on income growth, documentation quality, entity timing, retirement funding, vehicle strategy, and implementation discipline.</w:t>
            </w:r>
          </w:p>
        </w:tc>
      </w:tr>
    </w:tbl>
    <w:p/>
    <w:p>
      <w:pPr>
        <w:spacing w:before="200" w:after="80"/>
        <w:pBdr>
          <w:bottom w:val="single" w:sz="10" w:space="1" w:color="981E26"/>
        </w:pBdr>
      </w:pPr>
      <w:r>
        <w:rPr>
          <w:rFonts w:ascii="Georgia" w:hAnsi="Georgia"/>
          <w:b/>
          <w:color w:val="981E26"/>
          <w:sz w:val="26"/>
        </w:rPr>
        <w:t>EXECUTIVE SNAPSHOT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52"/>
        <w:gridCol w:w="4752"/>
        <w:gridCol w:w="4752"/>
      </w:tblGrid>
      <w:tr>
        <w:tc>
          <w:tcPr>
            <w:tcW w:type="dxa" w:w="4752"/>
            <w:shd w:fill="981E26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/>
                <w:color w:val="FFFFFF"/>
                <w:sz w:val="17"/>
              </w:rPr>
              <w:t>Metric</w:t>
            </w:r>
          </w:p>
        </w:tc>
        <w:tc>
          <w:tcPr>
            <w:tcW w:type="dxa" w:w="4752"/>
            <w:shd w:fill="981E26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/>
                <w:color w:val="FFFFFF"/>
                <w:sz w:val="17"/>
              </w:rPr>
              <w:t>Current Position</w:t>
            </w:r>
          </w:p>
        </w:tc>
        <w:tc>
          <w:tcPr>
            <w:tcW w:type="dxa" w:w="4752"/>
            <w:shd w:fill="981E26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/>
                <w:color w:val="FFFFFF"/>
                <w:sz w:val="17"/>
              </w:rPr>
              <w:t>Planning Opportunity</w:t>
            </w:r>
          </w:p>
        </w:tc>
      </w:tr>
      <w:tr>
        <w:tc>
          <w:tcPr>
            <w:tcW w:type="dxa" w:w="4752"/>
            <w:shd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 w:val="0"/>
                <w:color w:val="000000"/>
                <w:sz w:val="17"/>
              </w:rPr>
              <w:t>Federal Income Tax</w:t>
            </w:r>
          </w:p>
        </w:tc>
        <w:tc>
          <w:tcPr>
            <w:tcW w:type="dxa" w:w="4752"/>
            <w:shd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 w:val="0"/>
                <w:color w:val="000000"/>
                <w:sz w:val="17"/>
              </w:rPr>
              <w:t>Taxable exposure exists</w:t>
            </w:r>
          </w:p>
        </w:tc>
        <w:tc>
          <w:tcPr>
            <w:tcW w:type="dxa" w:w="4752"/>
            <w:shd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 w:val="0"/>
                <w:color w:val="000000"/>
                <w:sz w:val="17"/>
              </w:rPr>
              <w:t>Focus planning on the highest-impact tax driver</w:t>
            </w:r>
          </w:p>
        </w:tc>
      </w:tr>
      <w:tr>
        <w:tc>
          <w:tcPr>
            <w:tcW w:type="dxa" w:w="4752"/>
            <w:shd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 w:val="0"/>
                <w:color w:val="000000"/>
                <w:sz w:val="17"/>
              </w:rPr>
              <w:t>Total Tax</w:t>
            </w:r>
          </w:p>
        </w:tc>
        <w:tc>
          <w:tcPr>
            <w:tcW w:type="dxa" w:w="4752"/>
            <w:shd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 w:val="0"/>
                <w:color w:val="000000"/>
                <w:sz w:val="17"/>
              </w:rPr>
              <w:t>$14,000</w:t>
            </w:r>
          </w:p>
        </w:tc>
        <w:tc>
          <w:tcPr>
            <w:tcW w:type="dxa" w:w="4752"/>
            <w:shd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 w:val="0"/>
                <w:color w:val="000000"/>
                <w:sz w:val="17"/>
              </w:rPr>
              <w:t>Reduce future tax drag as income changes</w:t>
            </w:r>
          </w:p>
        </w:tc>
      </w:tr>
      <w:tr>
        <w:tc>
          <w:tcPr>
            <w:tcW w:type="dxa" w:w="4752"/>
            <w:shd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 w:val="0"/>
                <w:color w:val="000000"/>
                <w:sz w:val="17"/>
              </w:rPr>
              <w:t>Schedule C Net Profit</w:t>
            </w:r>
          </w:p>
        </w:tc>
        <w:tc>
          <w:tcPr>
            <w:tcW w:type="dxa" w:w="4752"/>
            <w:shd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 w:val="0"/>
                <w:color w:val="000000"/>
                <w:sz w:val="17"/>
              </w:rPr>
              <w:t>$85,000</w:t>
            </w:r>
          </w:p>
        </w:tc>
        <w:tc>
          <w:tcPr>
            <w:tcW w:type="dxa" w:w="4752"/>
            <w:shd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 w:val="0"/>
                <w:color w:val="000000"/>
                <w:sz w:val="17"/>
              </w:rPr>
              <w:t>Build toward retirement/entity planning trigger points</w:t>
            </w:r>
          </w:p>
        </w:tc>
      </w:tr>
      <w:tr>
        <w:tc>
          <w:tcPr>
            <w:tcW w:type="dxa" w:w="4752"/>
            <w:shd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 w:val="0"/>
                <w:color w:val="000000"/>
                <w:sz w:val="17"/>
              </w:rPr>
              <w:t>Refund / Balance</w:t>
            </w:r>
          </w:p>
        </w:tc>
        <w:tc>
          <w:tcPr>
            <w:tcW w:type="dxa" w:w="4752"/>
            <w:shd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 w:val="0"/>
                <w:color w:val="000000"/>
                <w:sz w:val="17"/>
              </w:rPr>
              <w:t>$1,200</w:t>
            </w:r>
          </w:p>
        </w:tc>
        <w:tc>
          <w:tcPr>
            <w:tcW w:type="dxa" w:w="4752"/>
            <w:shd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 w:val="0"/>
                <w:color w:val="000000"/>
                <w:sz w:val="17"/>
              </w:rPr>
              <w:t>Improve withholding and cash-flow predictability</w:t>
            </w:r>
          </w:p>
        </w:tc>
      </w:tr>
      <w:tr>
        <w:tc>
          <w:tcPr>
            <w:tcW w:type="dxa" w:w="4752"/>
            <w:shd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 w:val="0"/>
                <w:color w:val="000000"/>
                <w:sz w:val="17"/>
              </w:rPr>
              <w:t>Top Planning Focus</w:t>
            </w:r>
          </w:p>
        </w:tc>
        <w:tc>
          <w:tcPr>
            <w:tcW w:type="dxa" w:w="4752"/>
            <w:shd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 w:val="0"/>
                <w:color w:val="000000"/>
                <w:sz w:val="17"/>
              </w:rPr>
              <w:t>Tax strategy prioritization</w:t>
            </w:r>
          </w:p>
        </w:tc>
        <w:tc>
          <w:tcPr>
            <w:tcW w:type="dxa" w:w="4752"/>
            <w:shd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 w:val="0"/>
                <w:color w:val="000000"/>
                <w:sz w:val="17"/>
              </w:rPr>
              <w:t>Use ranked recommendations and implementation timeline</w:t>
            </w:r>
          </w:p>
        </w:tc>
      </w:tr>
    </w:tbl>
    <w:p>
      <w:pPr>
        <w:spacing w:before="200" w:after="80"/>
        <w:pBdr>
          <w:bottom w:val="single" w:sz="10" w:space="1" w:color="981E26"/>
        </w:pBdr>
      </w:pPr>
      <w:r>
        <w:rPr>
          <w:rFonts w:ascii="Georgia" w:hAnsi="Georgia"/>
          <w:b/>
          <w:color w:val="981E26"/>
          <w:sz w:val="26"/>
        </w:rPr>
        <w:t>TAX OPPORTUNITY SCORE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52"/>
        <w:gridCol w:w="4752"/>
        <w:gridCol w:w="4752"/>
      </w:tblGrid>
      <w:tr>
        <w:tc>
          <w:tcPr>
            <w:tcW w:type="dxa" w:w="4752"/>
            <w:shd w:fill="981E26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/>
                <w:color w:val="FFFFFF"/>
                <w:sz w:val="18"/>
              </w:rPr>
              <w:t>Current Tax Efficiency Score</w:t>
            </w:r>
          </w:p>
        </w:tc>
        <w:tc>
          <w:tcPr>
            <w:tcW w:type="dxa" w:w="4752"/>
            <w:shd w:fill="981E26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/>
                <w:color w:val="FFFFFF"/>
                <w:sz w:val="18"/>
              </w:rPr>
              <w:t>Potential Optimized Score</w:t>
            </w:r>
          </w:p>
        </w:tc>
        <w:tc>
          <w:tcPr>
            <w:tcW w:type="dxa" w:w="4752"/>
            <w:shd w:fill="981E26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/>
                <w:color w:val="FFFFFF"/>
                <w:sz w:val="18"/>
              </w:rPr>
              <w:t>Advisor Read</w:t>
            </w:r>
          </w:p>
        </w:tc>
      </w:tr>
      <w:tr>
        <w:tc>
          <w:tcPr>
            <w:tcW w:type="dxa" w:w="4752"/>
            <w:shd w:fill="FFF7DD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 w:val="0"/>
                <w:color w:val="000000"/>
                <w:sz w:val="18"/>
              </w:rPr>
              <w:t>72/100</w:t>
            </w:r>
          </w:p>
        </w:tc>
        <w:tc>
          <w:tcPr>
            <w:tcW w:type="dxa" w:w="4752"/>
            <w:shd w:fill="FFF7DD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 w:val="0"/>
                <w:color w:val="000000"/>
                <w:sz w:val="18"/>
              </w:rPr>
              <w:t>96/100</w:t>
            </w:r>
          </w:p>
        </w:tc>
        <w:tc>
          <w:tcPr>
            <w:tcW w:type="dxa" w:w="4752"/>
            <w:shd w:fill="FFF7DD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 w:val="0"/>
                <w:color w:val="000000"/>
                <w:sz w:val="18"/>
              </w:rPr>
              <w:t>The current tax structure contains identifiable planning opportunities that may improve long-term tax efficiency, cash-flow control, and wealth accumulation if implemented properly.</w:t>
            </w:r>
          </w:p>
        </w:tc>
      </w:tr>
    </w:tbl>
    <w:p>
      <w:pPr>
        <w:spacing w:before="200" w:after="80"/>
        <w:pBdr>
          <w:bottom w:val="single" w:sz="10" w:space="1" w:color="981E26"/>
        </w:pBdr>
      </w:pPr>
      <w:r>
        <w:rPr>
          <w:rFonts w:ascii="Georgia" w:hAnsi="Georgia"/>
          <w:b/>
          <w:color w:val="981E26"/>
          <w:sz w:val="26"/>
        </w:rPr>
        <w:t>CONFIRMED TAX POSITION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  <w:gridCol w:w="2376"/>
        <w:gridCol w:w="2376"/>
      </w:tblGrid>
      <w:tr>
        <w:tc>
          <w:tcPr>
            <w:tcW w:type="dxa" w:w="2376"/>
            <w:shd w:fill="981E26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/>
                <w:color w:val="FFFFFF"/>
                <w:sz w:val="17"/>
              </w:rPr>
              <w:t>Filing Status</w:t>
            </w:r>
          </w:p>
        </w:tc>
        <w:tc>
          <w:tcPr>
            <w:tcW w:type="dxa" w:w="2376"/>
            <w:shd w:fill="981E26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/>
                <w:color w:val="FFFFFF"/>
                <w:sz w:val="17"/>
              </w:rPr>
              <w:t>Dependents</w:t>
            </w:r>
          </w:p>
        </w:tc>
        <w:tc>
          <w:tcPr>
            <w:tcW w:type="dxa" w:w="2376"/>
            <w:shd w:fill="981E26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/>
                <w:color w:val="FFFFFF"/>
                <w:sz w:val="17"/>
              </w:rPr>
              <w:t>AGI</w:t>
            </w:r>
          </w:p>
        </w:tc>
        <w:tc>
          <w:tcPr>
            <w:tcW w:type="dxa" w:w="2376"/>
            <w:shd w:fill="981E26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/>
                <w:color w:val="FFFFFF"/>
                <w:sz w:val="17"/>
              </w:rPr>
              <w:t>Taxable Income</w:t>
            </w:r>
          </w:p>
        </w:tc>
        <w:tc>
          <w:tcPr>
            <w:tcW w:type="dxa" w:w="2376"/>
            <w:shd w:fill="981E26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/>
                <w:color w:val="FFFFFF"/>
                <w:sz w:val="17"/>
              </w:rPr>
              <w:t>Total Tax</w:t>
            </w:r>
          </w:p>
        </w:tc>
        <w:tc>
          <w:tcPr>
            <w:tcW w:type="dxa" w:w="2376"/>
            <w:shd w:fill="981E26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/>
                <w:color w:val="FFFFFF"/>
                <w:sz w:val="17"/>
              </w:rPr>
              <w:t>Refund</w:t>
            </w:r>
          </w:p>
        </w:tc>
      </w:tr>
      <w:tr>
        <w:tc>
          <w:tcPr>
            <w:tcW w:type="dxa" w:w="2376"/>
            <w:shd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 w:val="0"/>
                <w:color w:val="000000"/>
                <w:sz w:val="17"/>
              </w:rPr>
              <w:t>Head of Household</w:t>
            </w:r>
          </w:p>
        </w:tc>
        <w:tc>
          <w:tcPr>
            <w:tcW w:type="dxa" w:w="2376"/>
            <w:shd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 w:val="0"/>
                <w:color w:val="000000"/>
                <w:sz w:val="17"/>
              </w:rPr>
              <w:t>2</w:t>
            </w:r>
          </w:p>
        </w:tc>
        <w:tc>
          <w:tcPr>
            <w:tcW w:type="dxa" w:w="2376"/>
            <w:shd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 w:val="0"/>
                <w:color w:val="000000"/>
                <w:sz w:val="17"/>
              </w:rPr>
              <w:t>$125,000</w:t>
            </w:r>
          </w:p>
        </w:tc>
        <w:tc>
          <w:tcPr>
            <w:tcW w:type="dxa" w:w="2376"/>
            <w:shd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 w:val="0"/>
                <w:color w:val="000000"/>
                <w:sz w:val="17"/>
              </w:rPr>
              <w:t>$92,000</w:t>
            </w:r>
          </w:p>
        </w:tc>
        <w:tc>
          <w:tcPr>
            <w:tcW w:type="dxa" w:w="2376"/>
            <w:shd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 w:val="0"/>
                <w:color w:val="000000"/>
                <w:sz w:val="17"/>
              </w:rPr>
              <w:t>$14,000</w:t>
            </w:r>
          </w:p>
        </w:tc>
        <w:tc>
          <w:tcPr>
            <w:tcW w:type="dxa" w:w="2376"/>
            <w:shd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 w:val="0"/>
                <w:color w:val="000000"/>
                <w:sz w:val="17"/>
              </w:rPr>
              <w:t>$1,200</w:t>
            </w:r>
          </w:p>
        </w:tc>
      </w:tr>
    </w:tbl>
    <w:p>
      <w:pPr>
        <w:spacing w:before="0" w:after="80"/>
      </w:pPr>
      <w:r>
        <w:rPr>
          <w:rFonts w:ascii="Georgia" w:hAnsi="Georgia"/>
          <w:b w:val="0"/>
          <w:i/>
          <w:color w:val="555555"/>
          <w:sz w:val="16"/>
        </w:rPr>
        <w:t>Source reviewed: filed income tax return and supplied planning facts. Amounts should be verified against final filed copies before implementation.</w:t>
      </w:r>
    </w:p>
    <w:p>
      <w:pPr>
        <w:spacing w:before="200" w:after="80"/>
        <w:pBdr>
          <w:bottom w:val="single" w:sz="10" w:space="1" w:color="981E26"/>
        </w:pBdr>
      </w:pPr>
      <w:r>
        <w:rPr>
          <w:rFonts w:ascii="Georgia" w:hAnsi="Georgia"/>
          <w:b/>
          <w:color w:val="981E26"/>
          <w:sz w:val="26"/>
        </w:rPr>
        <w:t>EXECUTIVE SUMMARY</w:t>
      </w:r>
    </w:p>
    <w:p>
      <w:pPr>
        <w:spacing w:before="0" w:after="80"/>
      </w:pPr>
      <w:r>
        <w:rPr>
          <w:rFonts w:ascii="Georgia" w:hAnsi="Georgia"/>
          <w:b w:val="0"/>
          <w:i w:val="0"/>
          <w:color w:val="000000"/>
          <w:sz w:val="18"/>
        </w:rPr>
        <w:t>- The planning engine identifies which strategies are most relevant based on the supplied client fact pattern.</w:t>
      </w:r>
    </w:p>
    <w:p>
      <w:pPr>
        <w:spacing w:before="0" w:after="80"/>
      </w:pPr>
      <w:r>
        <w:rPr>
          <w:rFonts w:ascii="Georgia" w:hAnsi="Georgia"/>
          <w:b w:val="0"/>
          <w:i w:val="0"/>
          <w:color w:val="000000"/>
          <w:sz w:val="18"/>
        </w:rPr>
        <w:t>- Priority actions are ranked using estimated impact, timing, implementation difficulty, and ROI scoring.</w:t>
      </w:r>
    </w:p>
    <w:p>
      <w:pPr>
        <w:spacing w:before="0" w:after="80"/>
      </w:pPr>
      <w:r>
        <w:rPr>
          <w:rFonts w:ascii="Georgia" w:hAnsi="Georgia"/>
          <w:b w:val="0"/>
          <w:i w:val="0"/>
          <w:color w:val="000000"/>
          <w:sz w:val="18"/>
        </w:rPr>
        <w:t>- The report is designed to convert tax preparation facts into proactive advisory recommendations.</w:t>
      </w:r>
    </w:p>
    <w:p>
      <w:pPr>
        <w:spacing w:before="0" w:after="80"/>
      </w:pPr>
      <w:r>
        <w:rPr>
          <w:rFonts w:ascii="Georgia" w:hAnsi="Georgia"/>
          <w:b w:val="0"/>
          <w:i w:val="0"/>
          <w:color w:val="000000"/>
          <w:sz w:val="18"/>
        </w:rPr>
        <w:t>- The highest-value planning opportunities are highlighted first so the client knows what to act 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256"/>
      </w:tblGrid>
      <w:tr>
        <w:tc>
          <w:tcPr>
            <w:tcW w:type="dxa" w:w="14256"/>
            <w:shd w:fill="F7E9EA"/>
            <w:tcBorders>
              <w:top w:val="single" w:sz="6" w:space="0" w:color="E5C4C7"/>
              <w:left w:val="single" w:sz="6" w:space="0" w:color="E5C4C7"/>
              <w:bottom w:val="single" w:sz="6" w:space="0" w:color="E5C4C7"/>
              <w:right w:val="single" w:sz="6" w:space="0" w:color="E5C4C7"/>
            </w:tcBorders>
          </w:tcPr>
          <w:p>
            <w:r>
              <w:rPr>
                <w:rFonts w:ascii="Georgia" w:hAnsi="Georgia"/>
                <w:b/>
                <w:color w:val="981E26"/>
                <w:sz w:val="20"/>
              </w:rPr>
              <w:t>Primary Planning Message</w:t>
            </w:r>
          </w:p>
          <w:p>
            <w:pPr>
              <w:spacing w:before="0" w:after="0"/>
            </w:pPr>
            <w:r>
              <w:rPr>
                <w:rFonts w:ascii="Georgia" w:hAnsi="Georgia"/>
                <w:b w:val="0"/>
                <w:i w:val="0"/>
                <w:color w:val="000000"/>
                <w:sz w:val="18"/>
              </w:rPr>
              <w:t>The objective is to prioritize the strategies that produce the highest planning value and convert them into a clear implementation path.</w:t>
            </w:r>
          </w:p>
        </w:tc>
      </w:tr>
    </w:tbl>
    <w:p/>
    <w:p>
      <w:pPr>
        <w:spacing w:before="200" w:after="80"/>
        <w:pBdr>
          <w:bottom w:val="single" w:sz="10" w:space="1" w:color="981E26"/>
        </w:pBdr>
      </w:pPr>
      <w:r>
        <w:rPr>
          <w:rFonts w:ascii="Georgia" w:hAnsi="Georgia"/>
          <w:b/>
          <w:color w:val="981E26"/>
          <w:sz w:val="26"/>
        </w:rPr>
        <w:t>CURRENT FEDERAL TAX ANALYSIS</w:t>
      </w:r>
    </w:p>
    <w:p>
      <w:pPr>
        <w:spacing w:before="0" w:after="80"/>
      </w:pPr>
      <w:r>
        <w:rPr>
          <w:rFonts w:ascii="Georgia" w:hAnsi="Georgia"/>
          <w:b/>
          <w:i w:val="0"/>
          <w:color w:val="000000"/>
          <w:sz w:val="19"/>
        </w:rPr>
        <w:t>Tax Burden Analysis</w:t>
      </w:r>
    </w:p>
    <w:p>
      <w:pPr>
        <w:spacing w:before="0" w:after="80"/>
      </w:pPr>
      <w:r>
        <w:rPr>
          <w:rFonts w:ascii="Georgia" w:hAnsi="Georgia"/>
          <w:b w:val="0"/>
          <w:i w:val="0"/>
          <w:color w:val="000000"/>
          <w:sz w:val="18"/>
        </w:rPr>
        <w:t>- Adjusted gross income: $125,000.</w:t>
      </w:r>
    </w:p>
    <w:p>
      <w:pPr>
        <w:spacing w:before="0" w:after="80"/>
      </w:pPr>
      <w:r>
        <w:rPr>
          <w:rFonts w:ascii="Georgia" w:hAnsi="Georgia"/>
          <w:b w:val="0"/>
          <w:i w:val="0"/>
          <w:color w:val="000000"/>
          <w:sz w:val="18"/>
        </w:rPr>
        <w:t>- Taxable income: $92,000.</w:t>
      </w:r>
    </w:p>
    <w:p>
      <w:pPr>
        <w:spacing w:before="0" w:after="80"/>
      </w:pPr>
      <w:r>
        <w:rPr>
          <w:rFonts w:ascii="Georgia" w:hAnsi="Georgia"/>
          <w:b w:val="0"/>
          <w:i w:val="0"/>
          <w:color w:val="000000"/>
          <w:sz w:val="18"/>
        </w:rPr>
        <w:t>- Total tax: $14,000.</w:t>
      </w:r>
    </w:p>
    <w:p>
      <w:pPr>
        <w:spacing w:before="0" w:after="80"/>
      </w:pPr>
      <w:r>
        <w:rPr>
          <w:rFonts w:ascii="Georgia" w:hAnsi="Georgia"/>
          <w:b w:val="0"/>
          <w:i w:val="0"/>
          <w:color w:val="000000"/>
          <w:sz w:val="18"/>
        </w:rPr>
        <w:t>- Planning focus should be directed toward the highest-impact tax driver rather than generic deductions.</w:t>
      </w:r>
    </w:p>
    <w:p>
      <w:pPr>
        <w:spacing w:before="200" w:after="80"/>
        <w:pBdr>
          <w:bottom w:val="single" w:sz="10" w:space="1" w:color="981E26"/>
        </w:pBdr>
      </w:pPr>
      <w:r>
        <w:rPr>
          <w:rFonts w:ascii="Georgia" w:hAnsi="Georgia"/>
          <w:b/>
          <w:color w:val="981E26"/>
          <w:sz w:val="26"/>
        </w:rPr>
        <w:t>SCHEDULE C BUSINESS ANALYSIS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564"/>
        <w:gridCol w:w="3564"/>
        <w:gridCol w:w="3564"/>
        <w:gridCol w:w="3564"/>
      </w:tblGrid>
      <w:tr>
        <w:tc>
          <w:tcPr>
            <w:tcW w:type="dxa" w:w="3564"/>
            <w:shd w:fill="981E26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/>
                <w:color w:val="FFFFFF"/>
                <w:sz w:val="17"/>
              </w:rPr>
              <w:t>Business Metric</w:t>
            </w:r>
          </w:p>
        </w:tc>
        <w:tc>
          <w:tcPr>
            <w:tcW w:type="dxa" w:w="3564"/>
            <w:shd w:fill="981E26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/>
                <w:color w:val="FFFFFF"/>
                <w:sz w:val="17"/>
              </w:rPr>
              <w:t>Amount</w:t>
            </w:r>
          </w:p>
        </w:tc>
        <w:tc>
          <w:tcPr>
            <w:tcW w:type="dxa" w:w="3564"/>
            <w:shd w:fill="981E26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/>
                <w:color w:val="FFFFFF"/>
                <w:sz w:val="17"/>
              </w:rPr>
              <w:t>Advisor Read</w:t>
            </w:r>
          </w:p>
        </w:tc>
        <w:tc>
          <w:tcPr>
            <w:tcW w:type="dxa" w:w="3564"/>
            <w:shd w:fill="981E26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/>
                <w:color w:val="FFFFFF"/>
                <w:sz w:val="17"/>
              </w:rPr>
              <w:t>Planning Priority</w:t>
            </w:r>
          </w:p>
        </w:tc>
      </w:tr>
      <w:tr>
        <w:tc>
          <w:tcPr>
            <w:tcW w:type="dxa" w:w="3564"/>
            <w:shd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 w:val="0"/>
                <w:color w:val="000000"/>
                <w:sz w:val="17"/>
              </w:rPr>
              <w:t>Gross Revenue</w:t>
            </w:r>
          </w:p>
        </w:tc>
        <w:tc>
          <w:tcPr>
            <w:tcW w:type="dxa" w:w="3564"/>
            <w:shd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 w:val="0"/>
                <w:color w:val="000000"/>
                <w:sz w:val="17"/>
              </w:rPr>
              <w:t>$216,265</w:t>
            </w:r>
          </w:p>
        </w:tc>
        <w:tc>
          <w:tcPr>
            <w:tcW w:type="dxa" w:w="3564"/>
            <w:shd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 w:val="0"/>
                <w:color w:val="000000"/>
                <w:sz w:val="17"/>
              </w:rPr>
              <w:t>Strong activity level</w:t>
            </w:r>
          </w:p>
        </w:tc>
        <w:tc>
          <w:tcPr>
            <w:tcW w:type="dxa" w:w="3564"/>
            <w:shd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 w:val="0"/>
                <w:color w:val="000000"/>
                <w:sz w:val="17"/>
              </w:rPr>
              <w:t>Build structure around growth</w:t>
            </w:r>
          </w:p>
        </w:tc>
      </w:tr>
      <w:tr>
        <w:tc>
          <w:tcPr>
            <w:tcW w:type="dxa" w:w="3564"/>
            <w:shd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 w:val="0"/>
                <w:color w:val="000000"/>
                <w:sz w:val="17"/>
              </w:rPr>
              <w:t>Total Expenses</w:t>
            </w:r>
          </w:p>
        </w:tc>
        <w:tc>
          <w:tcPr>
            <w:tcW w:type="dxa" w:w="3564"/>
            <w:shd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 w:val="0"/>
                <w:color w:val="000000"/>
                <w:sz w:val="17"/>
              </w:rPr>
              <w:t>~$131,265</w:t>
            </w:r>
          </w:p>
        </w:tc>
        <w:tc>
          <w:tcPr>
            <w:tcW w:type="dxa" w:w="3564"/>
            <w:shd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 w:val="0"/>
                <w:color w:val="000000"/>
                <w:sz w:val="17"/>
              </w:rPr>
              <w:t>Expense ratio appears moderate</w:t>
            </w:r>
          </w:p>
        </w:tc>
        <w:tc>
          <w:tcPr>
            <w:tcW w:type="dxa" w:w="3564"/>
            <w:shd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 w:val="0"/>
                <w:color w:val="000000"/>
                <w:sz w:val="17"/>
              </w:rPr>
              <w:t>Confirm substantiation and business purpose</w:t>
            </w:r>
          </w:p>
        </w:tc>
      </w:tr>
      <w:tr>
        <w:tc>
          <w:tcPr>
            <w:tcW w:type="dxa" w:w="3564"/>
            <w:shd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 w:val="0"/>
                <w:color w:val="000000"/>
                <w:sz w:val="17"/>
              </w:rPr>
              <w:t>Net Profit</w:t>
            </w:r>
          </w:p>
        </w:tc>
        <w:tc>
          <w:tcPr>
            <w:tcW w:type="dxa" w:w="3564"/>
            <w:shd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 w:val="0"/>
                <w:color w:val="000000"/>
                <w:sz w:val="17"/>
              </w:rPr>
              <w:t>$85,000</w:t>
            </w:r>
          </w:p>
        </w:tc>
        <w:tc>
          <w:tcPr>
            <w:tcW w:type="dxa" w:w="3564"/>
            <w:shd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 w:val="0"/>
                <w:color w:val="000000"/>
                <w:sz w:val="17"/>
              </w:rPr>
              <w:t>About 39.3% margin</w:t>
            </w:r>
          </w:p>
        </w:tc>
        <w:tc>
          <w:tcPr>
            <w:tcW w:type="dxa" w:w="3564"/>
            <w:shd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 w:val="0"/>
                <w:color w:val="000000"/>
                <w:sz w:val="17"/>
              </w:rPr>
              <w:t>Improve profitability without losing tax control</w:t>
            </w:r>
          </w:p>
        </w:tc>
      </w:tr>
      <w:tr>
        <w:tc>
          <w:tcPr>
            <w:tcW w:type="dxa" w:w="3564"/>
            <w:shd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 w:val="0"/>
                <w:color w:val="000000"/>
                <w:sz w:val="17"/>
              </w:rPr>
              <w:t>Contract Labor</w:t>
            </w:r>
          </w:p>
        </w:tc>
        <w:tc>
          <w:tcPr>
            <w:tcW w:type="dxa" w:w="3564"/>
            <w:shd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 w:val="0"/>
                <w:color w:val="000000"/>
                <w:sz w:val="17"/>
              </w:rPr>
              <w:t>$107,920</w:t>
            </w:r>
          </w:p>
        </w:tc>
        <w:tc>
          <w:tcPr>
            <w:tcW w:type="dxa" w:w="3564"/>
            <w:shd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 w:val="0"/>
                <w:color w:val="000000"/>
                <w:sz w:val="17"/>
              </w:rPr>
              <w:t>Review if material</w:t>
            </w:r>
          </w:p>
        </w:tc>
        <w:tc>
          <w:tcPr>
            <w:tcW w:type="dxa" w:w="3564"/>
            <w:shd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 w:val="0"/>
                <w:color w:val="000000"/>
                <w:sz w:val="17"/>
              </w:rPr>
              <w:t>Confirm 1099/W-2 classification and documentation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256"/>
      </w:tblGrid>
      <w:tr>
        <w:tc>
          <w:tcPr>
            <w:tcW w:type="dxa" w:w="14256"/>
            <w:shd w:fill="FFF7DD"/>
            <w:tcBorders>
              <w:top w:val="single" w:sz="6" w:space="0" w:color="E5C4C7"/>
              <w:left w:val="single" w:sz="6" w:space="0" w:color="E5C4C7"/>
              <w:bottom w:val="single" w:sz="6" w:space="0" w:color="E5C4C7"/>
              <w:right w:val="single" w:sz="6" w:space="0" w:color="E5C4C7"/>
            </w:tcBorders>
          </w:tcPr>
          <w:p>
            <w:r>
              <w:rPr>
                <w:rFonts w:ascii="Georgia" w:hAnsi="Georgia"/>
                <w:b/>
                <w:color w:val="981E26"/>
                <w:sz w:val="20"/>
              </w:rPr>
              <w:t>Schedule C Risk Point</w:t>
            </w:r>
          </w:p>
          <w:p>
            <w:pPr>
              <w:spacing w:before="0" w:after="0"/>
            </w:pPr>
            <w:r>
              <w:rPr>
                <w:rFonts w:ascii="Georgia" w:hAnsi="Georgia"/>
                <w:b w:val="0"/>
                <w:i w:val="0"/>
                <w:color w:val="000000"/>
                <w:sz w:val="18"/>
              </w:rPr>
              <w:t>Business-owner planning should focus on documentation, entity timing, retirement plan integration, and self-employment tax management.</w:t>
            </w:r>
          </w:p>
        </w:tc>
      </w:tr>
    </w:tbl>
    <w:p/>
    <w:p>
      <w:r>
        <w:br w:type="page"/>
      </w:r>
    </w:p>
    <w:p>
      <w:pPr>
        <w:spacing w:before="200" w:after="80"/>
        <w:pBdr>
          <w:bottom w:val="single" w:sz="10" w:space="1" w:color="981E26"/>
        </w:pBdr>
      </w:pPr>
      <w:r>
        <w:rPr>
          <w:rFonts w:ascii="Georgia" w:hAnsi="Georgia"/>
          <w:b/>
          <w:color w:val="981E26"/>
          <w:sz w:val="26"/>
        </w:rPr>
        <w:t>PLANNING VISUALS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623560" cy="188623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5uizj0c7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18862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623560" cy="188623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wpb0rcd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18862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200" w:after="80"/>
        <w:pBdr>
          <w:bottom w:val="single" w:sz="10" w:space="1" w:color="981E26"/>
        </w:pBdr>
      </w:pPr>
      <w:r>
        <w:rPr>
          <w:rFonts w:ascii="Georgia" w:hAnsi="Georgia"/>
          <w:b/>
          <w:color w:val="981E26"/>
          <w:sz w:val="26"/>
        </w:rPr>
        <w:t>TOP PRIORITY ACTIONS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51"/>
        <w:gridCol w:w="2851"/>
        <w:gridCol w:w="2851"/>
        <w:gridCol w:w="2851"/>
        <w:gridCol w:w="2851"/>
      </w:tblGrid>
      <w:tr>
        <w:tc>
          <w:tcPr>
            <w:tcW w:type="dxa" w:w="2851"/>
            <w:shd w:fill="981E26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/>
                <w:color w:val="FFFFFF"/>
                <w:sz w:val="16"/>
              </w:rPr>
              <w:t>Rank</w:t>
            </w:r>
          </w:p>
        </w:tc>
        <w:tc>
          <w:tcPr>
            <w:tcW w:type="dxa" w:w="2851"/>
            <w:shd w:fill="981E26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/>
                <w:color w:val="FFFFFF"/>
                <w:sz w:val="16"/>
              </w:rPr>
              <w:t>Recommendation</w:t>
            </w:r>
          </w:p>
        </w:tc>
        <w:tc>
          <w:tcPr>
            <w:tcW w:type="dxa" w:w="2851"/>
            <w:shd w:fill="981E26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/>
                <w:color w:val="FFFFFF"/>
                <w:sz w:val="16"/>
              </w:rPr>
              <w:t>Estimated Impact</w:t>
            </w:r>
          </w:p>
        </w:tc>
        <w:tc>
          <w:tcPr>
            <w:tcW w:type="dxa" w:w="2851"/>
            <w:shd w:fill="981E26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/>
                <w:color w:val="FFFFFF"/>
                <w:sz w:val="16"/>
              </w:rPr>
              <w:t>Timing</w:t>
            </w:r>
          </w:p>
        </w:tc>
        <w:tc>
          <w:tcPr>
            <w:tcW w:type="dxa" w:w="2851"/>
            <w:shd w:fill="981E26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/>
                <w:color w:val="FFFFFF"/>
                <w:sz w:val="16"/>
              </w:rPr>
              <w:t>Why It Matters</w:t>
            </w:r>
          </w:p>
        </w:tc>
      </w:tr>
      <w:tr>
        <w:tc>
          <w:tcPr>
            <w:tcW w:type="dxa" w:w="2851"/>
            <w:shd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2851"/>
            <w:shd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 w:val="0"/>
                <w:color w:val="000000"/>
                <w:sz w:val="16"/>
              </w:rPr>
              <w:t>Roth Conversion Analysis</w:t>
            </w:r>
          </w:p>
        </w:tc>
        <w:tc>
          <w:tcPr>
            <w:tcW w:type="dxa" w:w="2851"/>
            <w:shd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 w:val="0"/>
                <w:color w:val="000000"/>
                <w:sz w:val="16"/>
              </w:rPr>
              <w:t>$7,360</w:t>
            </w:r>
          </w:p>
        </w:tc>
        <w:tc>
          <w:tcPr>
            <w:tcW w:type="dxa" w:w="2851"/>
            <w:shd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 w:val="0"/>
                <w:color w:val="000000"/>
                <w:sz w:val="16"/>
              </w:rPr>
              <w:t>Low-Income Years</w:t>
            </w:r>
          </w:p>
        </w:tc>
        <w:tc>
          <w:tcPr>
            <w:tcW w:type="dxa" w:w="2851"/>
            <w:shd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 w:val="0"/>
                <w:color w:val="000000"/>
                <w:sz w:val="16"/>
              </w:rPr>
              <w:t>Current tax brackets may support partial Roth conversion opportunities with long-term tax diversification benefits.</w:t>
            </w:r>
          </w:p>
        </w:tc>
      </w:tr>
      <w:tr>
        <w:tc>
          <w:tcPr>
            <w:tcW w:type="dxa" w:w="2851"/>
            <w:shd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 w:val="0"/>
                <w:color w:val="000000"/>
                <w:sz w:val="16"/>
              </w:rPr>
              <w:t>2</w:t>
            </w:r>
          </w:p>
        </w:tc>
        <w:tc>
          <w:tcPr>
            <w:tcW w:type="dxa" w:w="2851"/>
            <w:shd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 w:val="0"/>
                <w:color w:val="000000"/>
                <w:sz w:val="16"/>
              </w:rPr>
              <w:t>Solo 401(k) / SEP IRA</w:t>
            </w:r>
          </w:p>
        </w:tc>
        <w:tc>
          <w:tcPr>
            <w:tcW w:type="dxa" w:w="2851"/>
            <w:shd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 w:val="0"/>
                <w:color w:val="000000"/>
                <w:sz w:val="16"/>
              </w:rPr>
              <w:t>$4,165</w:t>
            </w:r>
          </w:p>
        </w:tc>
        <w:tc>
          <w:tcPr>
            <w:tcW w:type="dxa" w:w="2851"/>
            <w:shd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 w:val="0"/>
                <w:color w:val="000000"/>
                <w:sz w:val="16"/>
              </w:rPr>
              <w:t>Current Year</w:t>
            </w:r>
          </w:p>
        </w:tc>
        <w:tc>
          <w:tcPr>
            <w:tcW w:type="dxa" w:w="2851"/>
            <w:shd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 w:val="0"/>
                <w:color w:val="000000"/>
                <w:sz w:val="16"/>
              </w:rPr>
              <w:t>Current income supports additional retirement contribution capacity with immediate federal and Arizona tax benefits.</w:t>
            </w:r>
          </w:p>
        </w:tc>
      </w:tr>
      <w:tr>
        <w:tc>
          <w:tcPr>
            <w:tcW w:type="dxa" w:w="2851"/>
            <w:shd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 w:val="0"/>
                <w:color w:val="000000"/>
                <w:sz w:val="16"/>
              </w:rPr>
              <w:t>3</w:t>
            </w:r>
          </w:p>
        </w:tc>
        <w:tc>
          <w:tcPr>
            <w:tcW w:type="dxa" w:w="2851"/>
            <w:shd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 w:val="0"/>
                <w:color w:val="000000"/>
                <w:sz w:val="16"/>
              </w:rPr>
              <w:t>S-Corporation Election</w:t>
            </w:r>
          </w:p>
        </w:tc>
        <w:tc>
          <w:tcPr>
            <w:tcW w:type="dxa" w:w="2851"/>
            <w:shd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 w:val="0"/>
                <w:color w:val="000000"/>
                <w:sz w:val="16"/>
              </w:rPr>
              <w:t>$3,902</w:t>
            </w:r>
          </w:p>
        </w:tc>
        <w:tc>
          <w:tcPr>
            <w:tcW w:type="dxa" w:w="2851"/>
            <w:shd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 w:val="0"/>
                <w:color w:val="000000"/>
                <w:sz w:val="16"/>
              </w:rPr>
              <w:t>Within 12 Months</w:t>
            </w:r>
          </w:p>
        </w:tc>
        <w:tc>
          <w:tcPr>
            <w:tcW w:type="dxa" w:w="2851"/>
            <w:shd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 w:val="0"/>
                <w:color w:val="000000"/>
                <w:sz w:val="16"/>
              </w:rPr>
              <w:t>Current profitability suggests self-employment tax exposure is becoming material enough to justify formal entity modeling.</w:t>
            </w:r>
          </w:p>
        </w:tc>
      </w:tr>
      <w:tr>
        <w:tc>
          <w:tcPr>
            <w:tcW w:type="dxa" w:w="2851"/>
            <w:shd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 w:val="0"/>
                <w:color w:val="000000"/>
                <w:sz w:val="16"/>
              </w:rPr>
              <w:t>4</w:t>
            </w:r>
          </w:p>
        </w:tc>
        <w:tc>
          <w:tcPr>
            <w:tcW w:type="dxa" w:w="2851"/>
            <w:shd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 w:val="0"/>
                <w:color w:val="000000"/>
                <w:sz w:val="16"/>
              </w:rPr>
              <w:t>Capital Gain Optimization</w:t>
            </w:r>
          </w:p>
        </w:tc>
        <w:tc>
          <w:tcPr>
            <w:tcW w:type="dxa" w:w="2851"/>
            <w:shd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 w:val="0"/>
                <w:color w:val="000000"/>
                <w:sz w:val="16"/>
              </w:rPr>
              <w:t>$1,800</w:t>
            </w:r>
          </w:p>
        </w:tc>
        <w:tc>
          <w:tcPr>
            <w:tcW w:type="dxa" w:w="2851"/>
            <w:shd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 w:val="0"/>
                <w:color w:val="000000"/>
                <w:sz w:val="16"/>
              </w:rPr>
              <w:t>Before Year-End</w:t>
            </w:r>
          </w:p>
        </w:tc>
        <w:tc>
          <w:tcPr>
            <w:tcW w:type="dxa" w:w="2851"/>
            <w:shd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 w:val="0"/>
                <w:color w:val="000000"/>
                <w:sz w:val="16"/>
              </w:rPr>
              <w:t>Strategic harvesting and bracket management may improve long-term capital gain efficiency.</w:t>
            </w:r>
          </w:p>
        </w:tc>
      </w:tr>
      <w:tr>
        <w:tc>
          <w:tcPr>
            <w:tcW w:type="dxa" w:w="2851"/>
            <w:shd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 w:val="0"/>
                <w:color w:val="000000"/>
                <w:sz w:val="16"/>
              </w:rPr>
              <w:t>5</w:t>
            </w:r>
          </w:p>
        </w:tc>
        <w:tc>
          <w:tcPr>
            <w:tcW w:type="dxa" w:w="2851"/>
            <w:shd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 w:val="0"/>
                <w:color w:val="000000"/>
                <w:sz w:val="16"/>
              </w:rPr>
              <w:t>IRMAA Threshold Management</w:t>
            </w:r>
          </w:p>
        </w:tc>
        <w:tc>
          <w:tcPr>
            <w:tcW w:type="dxa" w:w="2851"/>
            <w:shd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 w:val="0"/>
                <w:color w:val="000000"/>
                <w:sz w:val="16"/>
              </w:rPr>
              <w:t>$2,400</w:t>
            </w:r>
          </w:p>
        </w:tc>
        <w:tc>
          <w:tcPr>
            <w:tcW w:type="dxa" w:w="2851"/>
            <w:shd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 w:val="0"/>
                <w:color w:val="000000"/>
                <w:sz w:val="16"/>
              </w:rPr>
              <w:t>Multi-Year</w:t>
            </w:r>
          </w:p>
        </w:tc>
        <w:tc>
          <w:tcPr>
            <w:tcW w:type="dxa" w:w="2851"/>
            <w:shd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 w:val="0"/>
                <w:color w:val="000000"/>
                <w:sz w:val="16"/>
              </w:rPr>
              <w:t>Managing future Medicare premium thresholds may create meaningful retirement cash-flow improvements.</w:t>
            </w:r>
          </w:p>
        </w:tc>
      </w:tr>
      <w:tr>
        <w:tc>
          <w:tcPr>
            <w:tcW w:type="dxa" w:w="2851"/>
            <w:shd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 w:val="0"/>
                <w:color w:val="000000"/>
                <w:sz w:val="16"/>
              </w:rPr>
              <w:t>6</w:t>
            </w:r>
          </w:p>
        </w:tc>
        <w:tc>
          <w:tcPr>
            <w:tcW w:type="dxa" w:w="2851"/>
            <w:shd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 w:val="0"/>
                <w:color w:val="000000"/>
                <w:sz w:val="16"/>
              </w:rPr>
              <w:t>Schedule C Documentation Optimization</w:t>
            </w:r>
          </w:p>
        </w:tc>
        <w:tc>
          <w:tcPr>
            <w:tcW w:type="dxa" w:w="2851"/>
            <w:shd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 w:val="0"/>
                <w:color w:val="000000"/>
                <w:sz w:val="16"/>
              </w:rPr>
              <w:t>$3,000-$10,000 risk protection value</w:t>
            </w:r>
          </w:p>
        </w:tc>
        <w:tc>
          <w:tcPr>
            <w:tcW w:type="dxa" w:w="2851"/>
            <w:shd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 w:val="0"/>
                <w:color w:val="000000"/>
                <w:sz w:val="16"/>
              </w:rPr>
              <w:t>Immediate</w:t>
            </w:r>
          </w:p>
        </w:tc>
        <w:tc>
          <w:tcPr>
            <w:tcW w:type="dxa" w:w="2851"/>
            <w:shd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 w:val="0"/>
                <w:color w:val="000000"/>
                <w:sz w:val="16"/>
              </w:rPr>
              <w:t>Protects existing deductions and reduces audit exposure.</w:t>
            </w:r>
          </w:p>
        </w:tc>
      </w:tr>
      <w:tr>
        <w:tc>
          <w:tcPr>
            <w:tcW w:type="dxa" w:w="2851"/>
            <w:shd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 w:val="0"/>
                <w:color w:val="000000"/>
                <w:sz w:val="16"/>
              </w:rPr>
              <w:t>7</w:t>
            </w:r>
          </w:p>
        </w:tc>
        <w:tc>
          <w:tcPr>
            <w:tcW w:type="dxa" w:w="2851"/>
            <w:shd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 w:val="0"/>
                <w:color w:val="000000"/>
                <w:sz w:val="16"/>
              </w:rPr>
              <w:t>Evaluate S-Corporation Election</w:t>
            </w:r>
          </w:p>
        </w:tc>
        <w:tc>
          <w:tcPr>
            <w:tcW w:type="dxa" w:w="2851"/>
            <w:shd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 w:val="0"/>
                <w:color w:val="000000"/>
                <w:sz w:val="16"/>
              </w:rPr>
              <w:t>$5,000-$15,000 annually</w:t>
            </w:r>
          </w:p>
        </w:tc>
        <w:tc>
          <w:tcPr>
            <w:tcW w:type="dxa" w:w="2851"/>
            <w:shd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 w:val="0"/>
                <w:color w:val="000000"/>
                <w:sz w:val="16"/>
              </w:rPr>
              <w:t>Within 90 days</w:t>
            </w:r>
          </w:p>
        </w:tc>
        <w:tc>
          <w:tcPr>
            <w:tcW w:type="dxa" w:w="2851"/>
            <w:shd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 w:val="0"/>
                <w:color w:val="000000"/>
                <w:sz w:val="16"/>
              </w:rPr>
              <w:t>Self-employment tax exposure becomes material at higher profitability levels.</w:t>
            </w:r>
          </w:p>
        </w:tc>
      </w:tr>
    </w:tbl>
    <w:p>
      <w:r>
        <w:br w:type="page"/>
      </w:r>
    </w:p>
    <w:p>
      <w:pPr>
        <w:spacing w:before="200" w:after="80"/>
        <w:pBdr>
          <w:bottom w:val="single" w:sz="10" w:space="1" w:color="981E26"/>
        </w:pBdr>
      </w:pPr>
      <w:r>
        <w:rPr>
          <w:rFonts w:ascii="Georgia" w:hAnsi="Georgia"/>
          <w:b/>
          <w:color w:val="981E26"/>
          <w:sz w:val="26"/>
        </w:rPr>
        <w:t>ROI-RANKED STRATEGY SCORECARD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  <w:gridCol w:w="2376"/>
        <w:gridCol w:w="2376"/>
      </w:tblGrid>
      <w:tr>
        <w:tc>
          <w:tcPr>
            <w:tcW w:type="dxa" w:w="2376"/>
            <w:shd w:fill="981E26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/>
                <w:color w:val="FFFFFF"/>
                <w:sz w:val="16"/>
              </w:rPr>
              <w:t>Rank</w:t>
            </w:r>
          </w:p>
        </w:tc>
        <w:tc>
          <w:tcPr>
            <w:tcW w:type="dxa" w:w="2376"/>
            <w:shd w:fill="981E26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/>
                <w:color w:val="FFFFFF"/>
                <w:sz w:val="16"/>
              </w:rPr>
              <w:t>Strategy</w:t>
            </w:r>
          </w:p>
        </w:tc>
        <w:tc>
          <w:tcPr>
            <w:tcW w:type="dxa" w:w="2376"/>
            <w:shd w:fill="981E26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/>
                <w:color w:val="FFFFFF"/>
                <w:sz w:val="16"/>
              </w:rPr>
              <w:t>Estimated Savings</w:t>
            </w:r>
          </w:p>
        </w:tc>
        <w:tc>
          <w:tcPr>
            <w:tcW w:type="dxa" w:w="2376"/>
            <w:shd w:fill="981E26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/>
                <w:color w:val="FFFFFF"/>
                <w:sz w:val="16"/>
              </w:rPr>
              <w:t>Score</w:t>
            </w:r>
          </w:p>
        </w:tc>
        <w:tc>
          <w:tcPr>
            <w:tcW w:type="dxa" w:w="2376"/>
            <w:shd w:fill="981E26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/>
                <w:color w:val="FFFFFF"/>
                <w:sz w:val="16"/>
              </w:rPr>
              <w:t>Difficulty</w:t>
            </w:r>
          </w:p>
        </w:tc>
        <w:tc>
          <w:tcPr>
            <w:tcW w:type="dxa" w:w="2376"/>
            <w:shd w:fill="981E26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/>
                <w:color w:val="FFFFFF"/>
                <w:sz w:val="16"/>
              </w:rPr>
              <w:t>Timeline</w:t>
            </w:r>
          </w:p>
        </w:tc>
      </w:tr>
      <w:tr>
        <w:tc>
          <w:tcPr>
            <w:tcW w:type="dxa" w:w="2376"/>
            <w:shd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2376"/>
            <w:shd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 w:val="0"/>
                <w:color w:val="000000"/>
                <w:sz w:val="16"/>
              </w:rPr>
              <w:t>Roth Conversion Analysis</w:t>
            </w:r>
          </w:p>
        </w:tc>
        <w:tc>
          <w:tcPr>
            <w:tcW w:type="dxa" w:w="2376"/>
            <w:shd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 w:val="0"/>
                <w:color w:val="000000"/>
                <w:sz w:val="16"/>
              </w:rPr>
              <w:t>$7,360</w:t>
            </w:r>
          </w:p>
        </w:tc>
        <w:tc>
          <w:tcPr>
            <w:tcW w:type="dxa" w:w="2376"/>
            <w:shd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 w:val="0"/>
                <w:color w:val="000000"/>
                <w:sz w:val="16"/>
              </w:rPr>
              <w:t>89/100</w:t>
            </w:r>
          </w:p>
        </w:tc>
        <w:tc>
          <w:tcPr>
            <w:tcW w:type="dxa" w:w="2376"/>
            <w:shd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 w:val="0"/>
                <w:color w:val="000000"/>
                <w:sz w:val="16"/>
              </w:rPr>
              <w:t>Medium</w:t>
            </w:r>
          </w:p>
        </w:tc>
        <w:tc>
          <w:tcPr>
            <w:tcW w:type="dxa" w:w="2376"/>
            <w:shd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 w:val="0"/>
                <w:color w:val="000000"/>
                <w:sz w:val="16"/>
              </w:rPr>
              <w:t>Low-Income Years</w:t>
            </w:r>
          </w:p>
        </w:tc>
      </w:tr>
      <w:tr>
        <w:tc>
          <w:tcPr>
            <w:tcW w:type="dxa" w:w="2376"/>
            <w:shd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 w:val="0"/>
                <w:color w:val="000000"/>
                <w:sz w:val="16"/>
              </w:rPr>
              <w:t>2</w:t>
            </w:r>
          </w:p>
        </w:tc>
        <w:tc>
          <w:tcPr>
            <w:tcW w:type="dxa" w:w="2376"/>
            <w:shd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 w:val="0"/>
                <w:color w:val="000000"/>
                <w:sz w:val="16"/>
              </w:rPr>
              <w:t>Solo 401(k) / SEP IRA</w:t>
            </w:r>
          </w:p>
        </w:tc>
        <w:tc>
          <w:tcPr>
            <w:tcW w:type="dxa" w:w="2376"/>
            <w:shd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 w:val="0"/>
                <w:color w:val="000000"/>
                <w:sz w:val="16"/>
              </w:rPr>
              <w:t>$4,165</w:t>
            </w:r>
          </w:p>
        </w:tc>
        <w:tc>
          <w:tcPr>
            <w:tcW w:type="dxa" w:w="2376"/>
            <w:shd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 w:val="0"/>
                <w:color w:val="000000"/>
                <w:sz w:val="16"/>
              </w:rPr>
              <w:t>87/100</w:t>
            </w:r>
          </w:p>
        </w:tc>
        <w:tc>
          <w:tcPr>
            <w:tcW w:type="dxa" w:w="2376"/>
            <w:shd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 w:val="0"/>
                <w:color w:val="000000"/>
                <w:sz w:val="16"/>
              </w:rPr>
              <w:t>Low</w:t>
            </w:r>
          </w:p>
        </w:tc>
        <w:tc>
          <w:tcPr>
            <w:tcW w:type="dxa" w:w="2376"/>
            <w:shd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 w:val="0"/>
                <w:color w:val="000000"/>
                <w:sz w:val="16"/>
              </w:rPr>
              <w:t>Current Year</w:t>
            </w:r>
          </w:p>
        </w:tc>
      </w:tr>
      <w:tr>
        <w:tc>
          <w:tcPr>
            <w:tcW w:type="dxa" w:w="2376"/>
            <w:shd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 w:val="0"/>
                <w:color w:val="000000"/>
                <w:sz w:val="16"/>
              </w:rPr>
              <w:t>3</w:t>
            </w:r>
          </w:p>
        </w:tc>
        <w:tc>
          <w:tcPr>
            <w:tcW w:type="dxa" w:w="2376"/>
            <w:shd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 w:val="0"/>
                <w:color w:val="000000"/>
                <w:sz w:val="16"/>
              </w:rPr>
              <w:t>S-Corporation Election</w:t>
            </w:r>
          </w:p>
        </w:tc>
        <w:tc>
          <w:tcPr>
            <w:tcW w:type="dxa" w:w="2376"/>
            <w:shd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 w:val="0"/>
                <w:color w:val="000000"/>
                <w:sz w:val="16"/>
              </w:rPr>
              <w:t>$3,902</w:t>
            </w:r>
          </w:p>
        </w:tc>
        <w:tc>
          <w:tcPr>
            <w:tcW w:type="dxa" w:w="2376"/>
            <w:shd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 w:val="0"/>
                <w:color w:val="000000"/>
                <w:sz w:val="16"/>
              </w:rPr>
              <w:t>81/100</w:t>
            </w:r>
          </w:p>
        </w:tc>
        <w:tc>
          <w:tcPr>
            <w:tcW w:type="dxa" w:w="2376"/>
            <w:shd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 w:val="0"/>
                <w:color w:val="000000"/>
                <w:sz w:val="16"/>
              </w:rPr>
              <w:t>Medium</w:t>
            </w:r>
          </w:p>
        </w:tc>
        <w:tc>
          <w:tcPr>
            <w:tcW w:type="dxa" w:w="2376"/>
            <w:shd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 w:val="0"/>
                <w:color w:val="000000"/>
                <w:sz w:val="16"/>
              </w:rPr>
              <w:t>Within 12 Months</w:t>
            </w:r>
          </w:p>
        </w:tc>
      </w:tr>
      <w:tr>
        <w:tc>
          <w:tcPr>
            <w:tcW w:type="dxa" w:w="2376"/>
            <w:shd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 w:val="0"/>
                <w:color w:val="000000"/>
                <w:sz w:val="16"/>
              </w:rPr>
              <w:t>4</w:t>
            </w:r>
          </w:p>
        </w:tc>
        <w:tc>
          <w:tcPr>
            <w:tcW w:type="dxa" w:w="2376"/>
            <w:shd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 w:val="0"/>
                <w:color w:val="000000"/>
                <w:sz w:val="16"/>
              </w:rPr>
              <w:t>Capital Gain Optimization</w:t>
            </w:r>
          </w:p>
        </w:tc>
        <w:tc>
          <w:tcPr>
            <w:tcW w:type="dxa" w:w="2376"/>
            <w:shd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 w:val="0"/>
                <w:color w:val="000000"/>
                <w:sz w:val="16"/>
              </w:rPr>
              <w:t>$1,800</w:t>
            </w:r>
          </w:p>
        </w:tc>
        <w:tc>
          <w:tcPr>
            <w:tcW w:type="dxa" w:w="2376"/>
            <w:shd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 w:val="0"/>
                <w:color w:val="000000"/>
                <w:sz w:val="16"/>
              </w:rPr>
              <w:t>72/100</w:t>
            </w:r>
          </w:p>
        </w:tc>
        <w:tc>
          <w:tcPr>
            <w:tcW w:type="dxa" w:w="2376"/>
            <w:shd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 w:val="0"/>
                <w:color w:val="000000"/>
                <w:sz w:val="16"/>
              </w:rPr>
              <w:t>Low</w:t>
            </w:r>
          </w:p>
        </w:tc>
        <w:tc>
          <w:tcPr>
            <w:tcW w:type="dxa" w:w="2376"/>
            <w:shd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 w:val="0"/>
                <w:color w:val="000000"/>
                <w:sz w:val="16"/>
              </w:rPr>
              <w:t>Before Year-End</w:t>
            </w:r>
          </w:p>
        </w:tc>
      </w:tr>
      <w:tr>
        <w:tc>
          <w:tcPr>
            <w:tcW w:type="dxa" w:w="2376"/>
            <w:shd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 w:val="0"/>
                <w:color w:val="000000"/>
                <w:sz w:val="16"/>
              </w:rPr>
              <w:t>5</w:t>
            </w:r>
          </w:p>
        </w:tc>
        <w:tc>
          <w:tcPr>
            <w:tcW w:type="dxa" w:w="2376"/>
            <w:shd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 w:val="0"/>
                <w:color w:val="000000"/>
                <w:sz w:val="16"/>
              </w:rPr>
              <w:t>IRMAA Threshold Management</w:t>
            </w:r>
          </w:p>
        </w:tc>
        <w:tc>
          <w:tcPr>
            <w:tcW w:type="dxa" w:w="2376"/>
            <w:shd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 w:val="0"/>
                <w:color w:val="000000"/>
                <w:sz w:val="16"/>
              </w:rPr>
              <w:t>$2,400</w:t>
            </w:r>
          </w:p>
        </w:tc>
        <w:tc>
          <w:tcPr>
            <w:tcW w:type="dxa" w:w="2376"/>
            <w:shd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 w:val="0"/>
                <w:color w:val="000000"/>
                <w:sz w:val="16"/>
              </w:rPr>
              <w:t>70/100</w:t>
            </w:r>
          </w:p>
        </w:tc>
        <w:tc>
          <w:tcPr>
            <w:tcW w:type="dxa" w:w="2376"/>
            <w:shd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 w:val="0"/>
                <w:color w:val="000000"/>
                <w:sz w:val="16"/>
              </w:rPr>
              <w:t>Medium</w:t>
            </w:r>
          </w:p>
        </w:tc>
        <w:tc>
          <w:tcPr>
            <w:tcW w:type="dxa" w:w="2376"/>
            <w:shd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 w:val="0"/>
                <w:color w:val="000000"/>
                <w:sz w:val="16"/>
              </w:rPr>
              <w:t>Multi-Year</w:t>
            </w:r>
          </w:p>
        </w:tc>
      </w:tr>
    </w:tbl>
    <w:p>
      <w:pPr>
        <w:spacing w:before="200" w:after="80"/>
        <w:pBdr>
          <w:bottom w:val="single" w:sz="10" w:space="1" w:color="981E26"/>
        </w:pBdr>
      </w:pPr>
      <w:r>
        <w:rPr>
          <w:rFonts w:ascii="Georgia" w:hAnsi="Georgia"/>
          <w:b/>
          <w:color w:val="981E26"/>
          <w:sz w:val="26"/>
        </w:rPr>
        <w:t>CLIENT-SPECIFIC STRATEGY MODULES</w:t>
      </w:r>
    </w:p>
    <w:p>
      <w:pPr>
        <w:spacing w:before="0" w:after="40"/>
      </w:pPr>
      <w:r>
        <w:rPr>
          <w:rFonts w:ascii="Georgia" w:hAnsi="Georgia"/>
          <w:b/>
          <w:i w:val="0"/>
          <w:color w:val="981E26"/>
          <w:sz w:val="20"/>
        </w:rPr>
        <w:t>Business Owner Strategy</w:t>
      </w:r>
    </w:p>
    <w:p>
      <w:pPr>
        <w:spacing w:before="0" w:after="80"/>
      </w:pPr>
      <w:r>
        <w:rPr>
          <w:rFonts w:ascii="Georgia" w:hAnsi="Georgia"/>
          <w:b w:val="0"/>
          <w:i w:val="0"/>
          <w:color w:val="000000"/>
          <w:sz w:val="18"/>
        </w:rPr>
        <w:t>Current planning should focus on documentation quality, retirement integration, contractor compliance, and long-term entity transition readiness. The business currently produces self-employment tax exposure that may eventually justify payroll optimization and S-Corp planning.</w:t>
      </w:r>
    </w:p>
    <w:p>
      <w:pPr>
        <w:spacing w:before="0" w:after="40"/>
      </w:pPr>
      <w:r>
        <w:rPr>
          <w:rFonts w:ascii="Georgia" w:hAnsi="Georgia"/>
          <w:b/>
          <w:i w:val="0"/>
          <w:color w:val="981E26"/>
          <w:sz w:val="20"/>
        </w:rPr>
        <w:t>S-Corporation Feasibility</w:t>
      </w:r>
    </w:p>
    <w:p>
      <w:pPr>
        <w:spacing w:before="0" w:after="80"/>
      </w:pPr>
      <w:r>
        <w:rPr>
          <w:rFonts w:ascii="Georgia" w:hAnsi="Georgia"/>
          <w:b w:val="0"/>
          <w:i w:val="0"/>
          <w:color w:val="000000"/>
          <w:sz w:val="18"/>
        </w:rPr>
        <w:t>Current profitability appears high enough to begin formal S-Corporation modeling. A detailed reasonable compensation analysis should be completed before implementation.</w:t>
      </w:r>
    </w:p>
    <w:p>
      <w:pPr>
        <w:spacing w:before="0" w:after="40"/>
      </w:pPr>
      <w:r>
        <w:rPr>
          <w:rFonts w:ascii="Georgia" w:hAnsi="Georgia"/>
          <w:b/>
          <w:i w:val="0"/>
          <w:color w:val="981E26"/>
          <w:sz w:val="20"/>
        </w:rPr>
        <w:t>Capital Gain Planning</w:t>
      </w:r>
    </w:p>
    <w:p>
      <w:pPr>
        <w:spacing w:before="0" w:after="80"/>
      </w:pPr>
      <w:r>
        <w:rPr>
          <w:rFonts w:ascii="Georgia" w:hAnsi="Georgia"/>
          <w:b w:val="0"/>
          <w:i w:val="0"/>
          <w:color w:val="000000"/>
          <w:sz w:val="18"/>
        </w:rPr>
        <w:t>The return includes capital gain activity. Future planning should monitor gain recognition timing, tax-loss harvesting opportunities, and long-term capital gain bracket utilization.</w:t>
      </w:r>
    </w:p>
    <w:p>
      <w:pPr>
        <w:spacing w:before="0" w:after="40"/>
      </w:pPr>
      <w:r>
        <w:rPr>
          <w:rFonts w:ascii="Georgia" w:hAnsi="Georgia"/>
          <w:b/>
          <w:i w:val="0"/>
          <w:color w:val="981E26"/>
          <w:sz w:val="20"/>
        </w:rPr>
        <w:t>Retirement Tax Planning</w:t>
      </w:r>
    </w:p>
    <w:p>
      <w:pPr>
        <w:spacing w:before="0" w:after="80"/>
      </w:pPr>
      <w:r>
        <w:rPr>
          <w:rFonts w:ascii="Georgia" w:hAnsi="Georgia"/>
          <w:b w:val="0"/>
          <w:i w:val="0"/>
          <w:color w:val="000000"/>
          <w:sz w:val="18"/>
        </w:rPr>
        <w:t>Retirement accounts create opportunities for tax bracket management, Roth conversion planning, and future required minimum distribution mitigation.</w:t>
      </w:r>
    </w:p>
    <w:p>
      <w:pPr>
        <w:spacing w:before="0" w:after="40"/>
      </w:pPr>
      <w:r>
        <w:rPr>
          <w:rFonts w:ascii="Georgia" w:hAnsi="Georgia"/>
          <w:b/>
          <w:i w:val="0"/>
          <w:color w:val="981E26"/>
          <w:sz w:val="20"/>
        </w:rPr>
        <w:t>Medicare and IRMAA Planning</w:t>
      </w:r>
    </w:p>
    <w:p>
      <w:pPr>
        <w:spacing w:before="0" w:after="80"/>
      </w:pPr>
      <w:r>
        <w:rPr>
          <w:rFonts w:ascii="Georgia" w:hAnsi="Georgia"/>
          <w:b w:val="0"/>
          <w:i w:val="0"/>
          <w:color w:val="000000"/>
          <w:sz w:val="18"/>
        </w:rPr>
        <w:t>Future income levels should be monitored carefully to manage Medicare premium surcharge thresholds and optimize long-term retirement cash flow.</w:t>
      </w:r>
    </w:p>
    <w:p>
      <w:pPr>
        <w:spacing w:before="200" w:after="80"/>
        <w:pBdr>
          <w:bottom w:val="single" w:sz="10" w:space="1" w:color="981E26"/>
        </w:pBdr>
      </w:pPr>
      <w:r>
        <w:rPr>
          <w:rFonts w:ascii="Georgia" w:hAnsi="Georgia"/>
          <w:b/>
          <w:color w:val="981E26"/>
          <w:sz w:val="26"/>
        </w:rPr>
        <w:t>ADVISOR ROI COMMENTARY</w:t>
      </w:r>
    </w:p>
    <w:p>
      <w:pPr>
        <w:spacing w:before="0" w:after="40"/>
      </w:pPr>
      <w:r>
        <w:rPr>
          <w:rFonts w:ascii="Georgia" w:hAnsi="Georgia"/>
          <w:b/>
          <w:i w:val="0"/>
          <w:color w:val="981E26"/>
          <w:sz w:val="20"/>
        </w:rPr>
        <w:t>Roth Conversion Analysis</w:t>
      </w:r>
    </w:p>
    <w:p>
      <w:pPr>
        <w:spacing w:before="0" w:after="80"/>
      </w:pPr>
      <w:r>
        <w:rPr>
          <w:rFonts w:ascii="Georgia" w:hAnsi="Georgia"/>
          <w:b w:val="0"/>
          <w:i w:val="0"/>
          <w:color w:val="000000"/>
          <w:sz w:val="18"/>
        </w:rPr>
        <w:t>Current tax brackets may support partial Roth conversion opportunities with long-term tax diversification benefits.</w:t>
      </w:r>
    </w:p>
    <w:p>
      <w:pPr>
        <w:spacing w:before="0" w:after="40"/>
      </w:pPr>
      <w:r>
        <w:rPr>
          <w:rFonts w:ascii="Georgia" w:hAnsi="Georgia"/>
          <w:b/>
          <w:i w:val="0"/>
          <w:color w:val="981E26"/>
          <w:sz w:val="20"/>
        </w:rPr>
        <w:t>Solo 401(k) / SEP IRA</w:t>
      </w:r>
    </w:p>
    <w:p>
      <w:pPr>
        <w:spacing w:before="0" w:after="80"/>
      </w:pPr>
      <w:r>
        <w:rPr>
          <w:rFonts w:ascii="Georgia" w:hAnsi="Georgia"/>
          <w:b w:val="0"/>
          <w:i w:val="0"/>
          <w:color w:val="000000"/>
          <w:sz w:val="18"/>
        </w:rPr>
        <w:t>Current income supports additional retirement contribution capacity with immediate federal and Arizona tax benefits.</w:t>
      </w:r>
    </w:p>
    <w:p>
      <w:pPr>
        <w:spacing w:before="0" w:after="40"/>
      </w:pPr>
      <w:r>
        <w:rPr>
          <w:rFonts w:ascii="Georgia" w:hAnsi="Georgia"/>
          <w:b/>
          <w:i w:val="0"/>
          <w:color w:val="981E26"/>
          <w:sz w:val="20"/>
        </w:rPr>
        <w:t>S-Corporation Election</w:t>
      </w:r>
    </w:p>
    <w:p>
      <w:pPr>
        <w:spacing w:before="0" w:after="80"/>
      </w:pPr>
      <w:r>
        <w:rPr>
          <w:rFonts w:ascii="Georgia" w:hAnsi="Georgia"/>
          <w:b w:val="0"/>
          <w:i w:val="0"/>
          <w:color w:val="000000"/>
          <w:sz w:val="18"/>
        </w:rPr>
        <w:t>Current profitability suggests self-employment tax exposure is becoming material enough to justify formal entity modeling.</w:t>
      </w:r>
    </w:p>
    <w:p>
      <w:pPr>
        <w:spacing w:before="0" w:after="40"/>
      </w:pPr>
      <w:r>
        <w:rPr>
          <w:rFonts w:ascii="Georgia" w:hAnsi="Georgia"/>
          <w:b/>
          <w:i w:val="0"/>
          <w:color w:val="981E26"/>
          <w:sz w:val="20"/>
        </w:rPr>
        <w:t>Capital Gain Optimization</w:t>
      </w:r>
    </w:p>
    <w:p>
      <w:pPr>
        <w:spacing w:before="0" w:after="80"/>
      </w:pPr>
      <w:r>
        <w:rPr>
          <w:rFonts w:ascii="Georgia" w:hAnsi="Georgia"/>
          <w:b w:val="0"/>
          <w:i w:val="0"/>
          <w:color w:val="000000"/>
          <w:sz w:val="18"/>
        </w:rPr>
        <w:t>Strategic harvesting and bracket management may improve long-term capital gain efficiency.</w:t>
      </w:r>
    </w:p>
    <w:p>
      <w:pPr>
        <w:spacing w:before="0" w:after="40"/>
      </w:pPr>
      <w:r>
        <w:rPr>
          <w:rFonts w:ascii="Georgia" w:hAnsi="Georgia"/>
          <w:b/>
          <w:i w:val="0"/>
          <w:color w:val="981E26"/>
          <w:sz w:val="20"/>
        </w:rPr>
        <w:t>IRMAA Threshold Management</w:t>
      </w:r>
    </w:p>
    <w:p>
      <w:pPr>
        <w:spacing w:before="0" w:after="80"/>
      </w:pPr>
      <w:r>
        <w:rPr>
          <w:rFonts w:ascii="Georgia" w:hAnsi="Georgia"/>
          <w:b w:val="0"/>
          <w:i w:val="0"/>
          <w:color w:val="000000"/>
          <w:sz w:val="18"/>
        </w:rPr>
        <w:t>Managing future Medicare premium thresholds may create meaningful retirement cash-flow improvements.</w:t>
      </w:r>
    </w:p>
    <w:p>
      <w:pPr>
        <w:spacing w:before="200" w:after="80"/>
        <w:pBdr>
          <w:bottom w:val="single" w:sz="10" w:space="1" w:color="981E26"/>
        </w:pBdr>
      </w:pPr>
      <w:r>
        <w:rPr>
          <w:rFonts w:ascii="Georgia" w:hAnsi="Georgia"/>
          <w:b/>
          <w:color w:val="981E26"/>
          <w:sz w:val="26"/>
        </w:rPr>
        <w:t>DO THIS NOW CHECKLIST AND IMPLEMENTATION ROADMAP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52"/>
        <w:gridCol w:w="4752"/>
        <w:gridCol w:w="4752"/>
      </w:tblGrid>
      <w:tr>
        <w:tc>
          <w:tcPr>
            <w:tcW w:type="dxa" w:w="4752"/>
            <w:shd w:fill="981E26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/>
                <w:color w:val="FFFFFF"/>
                <w:sz w:val="17"/>
              </w:rPr>
              <w:t>Timeline</w:t>
            </w:r>
          </w:p>
        </w:tc>
        <w:tc>
          <w:tcPr>
            <w:tcW w:type="dxa" w:w="4752"/>
            <w:shd w:fill="981E26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/>
                <w:color w:val="FFFFFF"/>
                <w:sz w:val="17"/>
              </w:rPr>
              <w:t>Action Items</w:t>
            </w:r>
          </w:p>
        </w:tc>
        <w:tc>
          <w:tcPr>
            <w:tcW w:type="dxa" w:w="4752"/>
            <w:shd w:fill="981E26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/>
                <w:color w:val="FFFFFF"/>
                <w:sz w:val="17"/>
              </w:rPr>
              <w:t>Purpose</w:t>
            </w:r>
          </w:p>
        </w:tc>
      </w:tr>
      <w:tr>
        <w:tc>
          <w:tcPr>
            <w:tcW w:type="dxa" w:w="4752"/>
            <w:shd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 w:val="0"/>
                <w:color w:val="000000"/>
                <w:sz w:val="17"/>
              </w:rPr>
              <w:t>Next 30 Days</w:t>
            </w:r>
          </w:p>
        </w:tc>
        <w:tc>
          <w:tcPr>
            <w:tcW w:type="dxa" w:w="4752"/>
            <w:shd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 w:val="0"/>
                <w:color w:val="000000"/>
                <w:sz w:val="17"/>
              </w:rPr>
              <w:t>Address the highest-ranked action items and gather supporting documentation.</w:t>
            </w:r>
          </w:p>
        </w:tc>
        <w:tc>
          <w:tcPr>
            <w:tcW w:type="dxa" w:w="4752"/>
            <w:shd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 w:val="0"/>
                <w:color w:val="000000"/>
                <w:sz w:val="17"/>
              </w:rPr>
              <w:t>Create immediate momentum and reduce implementation risk.</w:t>
            </w:r>
          </w:p>
        </w:tc>
      </w:tr>
      <w:tr>
        <w:tc>
          <w:tcPr>
            <w:tcW w:type="dxa" w:w="4752"/>
            <w:shd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 w:val="0"/>
                <w:color w:val="000000"/>
                <w:sz w:val="17"/>
              </w:rPr>
              <w:t>Next 90 Days</w:t>
            </w:r>
          </w:p>
        </w:tc>
        <w:tc>
          <w:tcPr>
            <w:tcW w:type="dxa" w:w="4752"/>
            <w:shd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 w:val="0"/>
                <w:color w:val="000000"/>
                <w:sz w:val="17"/>
              </w:rPr>
              <w:t>Model larger strategies such as entity structure, retirement contributions, withholding, and investment tax planning.</w:t>
            </w:r>
          </w:p>
        </w:tc>
        <w:tc>
          <w:tcPr>
            <w:tcW w:type="dxa" w:w="4752"/>
            <w:shd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 w:val="0"/>
                <w:color w:val="000000"/>
                <w:sz w:val="17"/>
              </w:rPr>
              <w:t>Convert recommendations into measurable planning decisions.</w:t>
            </w:r>
          </w:p>
        </w:tc>
      </w:tr>
      <w:tr>
        <w:tc>
          <w:tcPr>
            <w:tcW w:type="dxa" w:w="4752"/>
            <w:shd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 w:val="0"/>
                <w:color w:val="000000"/>
                <w:sz w:val="17"/>
              </w:rPr>
              <w:t>Next 12 Months</w:t>
            </w:r>
          </w:p>
        </w:tc>
        <w:tc>
          <w:tcPr>
            <w:tcW w:type="dxa" w:w="4752"/>
            <w:shd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 w:val="0"/>
                <w:color w:val="000000"/>
                <w:sz w:val="17"/>
              </w:rPr>
              <w:t>Review progress quarterly and update the strategy as income, deductions, and family facts change.</w:t>
            </w:r>
          </w:p>
        </w:tc>
        <w:tc>
          <w:tcPr>
            <w:tcW w:type="dxa" w:w="4752"/>
            <w:shd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 w:val="0"/>
                <w:color w:val="000000"/>
                <w:sz w:val="17"/>
              </w:rPr>
              <w:t>Turn the report into a recurring advisory process.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256"/>
      </w:tblGrid>
      <w:tr>
        <w:tc>
          <w:tcPr>
            <w:tcW w:type="dxa" w:w="14256"/>
            <w:shd w:fill="FFF7DD"/>
            <w:tcBorders>
              <w:top w:val="single" w:sz="6" w:space="0" w:color="E5C4C7"/>
              <w:left w:val="single" w:sz="6" w:space="0" w:color="E5C4C7"/>
              <w:bottom w:val="single" w:sz="6" w:space="0" w:color="E5C4C7"/>
              <w:right w:val="single" w:sz="6" w:space="0" w:color="E5C4C7"/>
            </w:tcBorders>
          </w:tcPr>
          <w:p>
            <w:r>
              <w:rPr>
                <w:rFonts w:ascii="Georgia" w:hAnsi="Georgia"/>
                <w:b/>
                <w:color w:val="981E26"/>
                <w:sz w:val="20"/>
              </w:rPr>
              <w:t>Do This Now - Advisor Directive</w:t>
            </w:r>
          </w:p>
          <w:p>
            <w:pPr>
              <w:spacing w:before="0" w:after="0"/>
            </w:pPr>
            <w:r>
              <w:rPr>
                <w:rFonts w:ascii="Georgia" w:hAnsi="Georgia"/>
                <w:b w:val="0"/>
                <w:i w:val="0"/>
                <w:color w:val="000000"/>
                <w:sz w:val="18"/>
              </w:rPr>
              <w:t>Start with the highest-ranked recommendations. The purpose of this report is to convert tax data into an actionable implementation plan, not simply summarize the return.</w:t>
            </w:r>
          </w:p>
        </w:tc>
      </w:tr>
    </w:tbl>
    <w:p/>
    <w:p>
      <w:pPr>
        <w:spacing w:before="200" w:after="80"/>
        <w:pBdr>
          <w:bottom w:val="single" w:sz="10" w:space="1" w:color="981E26"/>
        </w:pBdr>
      </w:pPr>
      <w:r>
        <w:rPr>
          <w:rFonts w:ascii="Georgia" w:hAnsi="Georgia"/>
          <w:b/>
          <w:color w:val="981E26"/>
          <w:sz w:val="26"/>
        </w:rPr>
        <w:t>FINAL ADVISOR RECOMMENDATION</w:t>
      </w:r>
    </w:p>
    <w:p>
      <w:pPr>
        <w:spacing w:before="0" w:after="80"/>
      </w:pPr>
      <w:r>
        <w:rPr>
          <w:rFonts w:ascii="Georgia" w:hAnsi="Georgia"/>
          <w:b w:val="0"/>
          <w:i w:val="0"/>
          <w:color w:val="000000"/>
          <w:sz w:val="18"/>
        </w:rPr>
        <w:t>The strongest planning value comes from prioritizing the right strategies in the right order. This report identifies the actions most likely to improve tax efficiency, reduce compliance risk, improve cash-flow predictability, and support long-term wealth building.</w:t>
      </w:r>
    </w:p>
    <w:p>
      <w:pPr>
        <w:spacing w:before="200" w:after="80"/>
        <w:pBdr>
          <w:bottom w:val="single" w:sz="10" w:space="1" w:color="981E26"/>
        </w:pBdr>
      </w:pPr>
      <w:r>
        <w:rPr>
          <w:rFonts w:ascii="Georgia" w:hAnsi="Georgia"/>
          <w:b/>
          <w:color w:val="981E26"/>
          <w:sz w:val="26"/>
        </w:rPr>
        <w:t>PREPARED BY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128"/>
        <w:gridCol w:w="7128"/>
      </w:tblGrid>
      <w:tr>
        <w:tc>
          <w:tcPr>
            <w:tcW w:type="dxa" w:w="7128"/>
            <w:shd w:fill="F7E9E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/>
                <w:color w:val="000000"/>
                <w:sz w:val="17"/>
              </w:rPr>
              <w:t>Scott Kunz, ChFC, TPCP</w:t>
              <w:br/>
              <w:t>Enrolled Agent and Financial Advisor</w:t>
              <w:br/>
              <w:t>Valhalla Tax Services</w:t>
            </w:r>
          </w:p>
        </w:tc>
        <w:tc>
          <w:tcPr>
            <w:tcW w:type="dxa" w:w="7128"/>
            <w:shd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>
            <w:pPr>
              <w:spacing w:after="0" w:before="0"/>
            </w:pPr>
            <w:r>
              <w:rPr>
                <w:rFonts w:ascii="Georgia" w:hAnsi="Georgia"/>
                <w:b w:val="0"/>
                <w:color w:val="000000"/>
                <w:sz w:val="17"/>
              </w:rPr>
              <w:t>7055 W Bell Rd, Suite B20, Glendale, AZ 85308</w:t>
              <w:br/>
              <w:t>(623) 887-7921</w:t>
              <w:br/>
              <w:t>skunz@valhallataxservice.com</w:t>
              <w:br/>
              <w:t>www.valhallataxservice.com</w:t>
            </w:r>
          </w:p>
        </w:tc>
      </w:tr>
    </w:tbl>
    <w:p>
      <w:pPr>
        <w:spacing w:before="200" w:after="80"/>
        <w:pBdr>
          <w:bottom w:val="single" w:sz="10" w:space="1" w:color="981E26"/>
        </w:pBdr>
      </w:pPr>
      <w:r>
        <w:rPr>
          <w:rFonts w:ascii="Georgia" w:hAnsi="Georgia"/>
          <w:b/>
          <w:color w:val="981E26"/>
          <w:sz w:val="26"/>
        </w:rPr>
        <w:t>IMPORTANT PLANNING NOTES</w:t>
      </w:r>
    </w:p>
    <w:p>
      <w:pPr>
        <w:spacing w:before="0" w:after="80"/>
      </w:pPr>
      <w:r>
        <w:rPr>
          <w:rFonts w:ascii="Georgia" w:hAnsi="Georgia"/>
          <w:b w:val="0"/>
          <w:i w:val="0"/>
          <w:color w:val="555555"/>
          <w:sz w:val="17"/>
        </w:rPr>
        <w:t>The savings estimates in this report are planning illustrations, not guaranteed outcomes. Actual results depend on final income, filing status, business-use percentages, payroll requirements, documentation, entity costs, state law, and implementation timing. Strategies involving children, contractors, retirement plans, vehicle deductions, and S-Corp elections should be implemented with proper documentation and professional review.</w:t>
      </w:r>
    </w:p>
    <w:sectPr w:rsidR="00FC693F" w:rsidRPr="0006063C" w:rsidSect="00034616">
      <w:footerReference w:type="default" r:id="rId9"/>
      <w:pgSz w:w="15840" w:h="12240" w:orient="landscape"/>
      <w:pgMar w:top="648" w:right="792" w:bottom="864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80"/>
      <w:jc w:val="center"/>
    </w:pPr>
    <w:r>
      <w:rPr>
        <w:rFonts w:ascii="Georgia" w:hAnsi="Georgia"/>
        <w:b w:val="0"/>
        <w:i w:val="0"/>
        <w:color w:val="777777"/>
        <w:sz w:val="15"/>
      </w:rPr>
      <w:t>Prepared by Scott Kunz, ChFC, TPCP, Enrolled Agent and Financial Advisor | Confidential client planning document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