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网络小说写作者特质与训练报告</w:t>
      </w:r>
    </w:p>
    <w:p>
      <w:r>
        <w:t>面向考虑签约变现的初学者</w:t>
      </w:r>
    </w:p>
    <w:p>
      <w:r>
        <w:t>研究日期 2026年9月8日</w:t>
      </w:r>
    </w:p>
    <w:p>
      <w:pPr>
        <w:pStyle w:val="Heading1"/>
      </w:pPr>
      <w:r>
        <w:t>先判断能否把故事持续写出来</w:t>
      </w:r>
    </w:p>
    <w:p>
      <w:r>
        <w:t>对网络连载而言，最值得培养的组合是：对人和故事保持好奇，能把想法写成清楚的情节，愿意为目标读者提供阅读体验，并且能够持续完成、修改和交付。这是对研究、写作教学及平台要求的综合判断，不是一套经过验证的“成功人格模型”。</w:t>
      </w:r>
    </w:p>
    <w:p>
      <w:r>
        <w:t>目前没有足够证据支持根据内向外向、敏感程度、学历或某个人格分数，判断一个新人能否写出畅销网文。现有心理学研究往往测量一般创造成就或短篇写作任务；平台评估则直接看作品。两者都不能替代实际试写。</w:t>
      </w:r>
    </w:p>
    <w:p>
      <w:pPr>
        <w:pStyle w:val="Heading2"/>
      </w:pPr>
      <w:r>
        <w:t>需要区分的四种结果</w:t>
      </w:r>
    </w:p>
    <w:p>
      <w:pPr>
        <w:pStyle w:val="ListBullet"/>
      </w:pPr>
      <w:r>
        <w:t>有想法：能想到人物、设定或冲突，尚未证明能完成叙事。</w:t>
      </w:r>
    </w:p>
    <w:p>
      <w:pPr>
        <w:pStyle w:val="ListBullet"/>
      </w:pPr>
      <w:r>
        <w:t>写成作品：能完成有因果、有推进、有阶段结局的正文。</w:t>
      </w:r>
    </w:p>
    <w:p>
      <w:pPr>
        <w:pStyle w:val="ListBullet"/>
      </w:pPr>
      <w:r>
        <w:t>获得签约：作品通过特定平台审核与评估，符合该平台条件。</w:t>
      </w:r>
    </w:p>
    <w:p>
      <w:pPr>
        <w:pStyle w:val="ListBullet"/>
      </w:pPr>
      <w:r>
        <w:t>形成收入：还取决于读者表现、渠道、合同与持续产出，签约本身不能证明收入足以覆盖投入。</w:t>
      </w:r>
    </w:p>
    <w:p>
      <w:pPr>
        <w:pStyle w:val="Heading2"/>
      </w:pPr>
      <w:r>
        <w:t>按当前目标安排训练优先级</w:t>
      </w:r>
    </w:p>
    <w:p>
      <w:r>
        <w:t>第一优先级是清楚叙事、章节价值和可持续完稿；第二优先级是人物可信、修改能力和读者定位；第三优先级是扩大素材、形成语言风格和尝试复杂结构。这里的先后顺序是为商业连载入门提出的实践建议，不代表文学价值排名。</w:t>
      </w:r>
    </w:p>
    <w:p>
      <w:r>
        <w:t>你需要的初始证据不是“我有没有作家气质”，而是一段写完、改过、有人读懂并愿意继续看的故事。下文说明各项能力怎么表现，以及怎样用小规模试作验证。</w:t>
      </w:r>
    </w:p>
    <w:p>
      <w:r>
        <w:t>来源说明：大学课程将人物、情节、视角与编辑作为可学习内容；番茄官方评估直接检验作品的多项表现。</w:t>
      </w:r>
      <w:hyperlink r:id="rId9">
        <w:r>
          <w:rPr>
            <w:color w:val="245A81"/>
          </w:rPr>
          <w:t>Open University 创意写作课程</w:t>
        </w:r>
      </w:hyperlink>
      <w:r>
        <w:t>；</w:t>
      </w:r>
      <w:hyperlink r:id="rId10">
        <w:r>
          <w:rPr>
            <w:color w:val="245A81"/>
          </w:rPr>
          <w:t>番茄签约流程</w:t>
        </w:r>
      </w:hyperlink>
      <w:r>
        <w:t>。完整适用条件见第五部分。</w:t>
      </w:r>
    </w:p>
    <w:p>
      <w:r>
        <w:br w:type="page"/>
      </w:r>
    </w:p>
    <w:p>
      <w:pPr>
        <w:pStyle w:val="Heading1"/>
      </w:pPr>
      <w:r>
        <w:t>心理特质是有利倾向而非入场资格</w:t>
      </w:r>
    </w:p>
    <w:p>
      <w:pPr>
        <w:pStyle w:val="Heading2"/>
      </w:pPr>
      <w:r>
        <w:t>好奇心和开放性</w:t>
      </w:r>
    </w:p>
    <w:p>
      <w:r>
        <w:t>Kaufman等人的四组样本共1035人，发现开放性与艺术创造成就有关；艺术指标包含创意写作，也包含音乐、舞蹈等。它不能单独预测中国网文作者的签约或收入，更不能证明把开放性分数提高就能写好小说。</w:t>
      </w:r>
      <w:hyperlink r:id="rId11">
        <w:r>
          <w:rPr>
            <w:color w:val="245A81"/>
          </w:rPr>
          <w:t>Kaufman等 2016</w:t>
        </w:r>
      </w:hyperlink>
      <w:r/>
    </w:p>
    <w:p>
      <w:r>
        <w:t>可训练的行为：遇到反常细节时多追问一次；为一个人的行为列出几种解释；把熟悉的处境换成不同立场。观察后形成具体情节，比给自己贴“想象力丰富”的标签更有用。</w:t>
      </w:r>
    </w:p>
    <w:p>
      <w:pPr>
        <w:pStyle w:val="Heading2"/>
      </w:pPr>
      <w:r>
        <w:t>理解人物的视角</w:t>
      </w:r>
    </w:p>
    <w:p>
      <w:r>
        <w:t>一项研究让207名参与者写人物小传，再由144人评分。部分开放性、社会认知及写作习惯指标与人物的趣味或复杂度相关，但研究属于探索性分析，不能推成“高共情是作家必需品”。</w:t>
      </w:r>
      <w:hyperlink r:id="rId12">
        <w:r>
          <w:rPr>
            <w:color w:val="245A81"/>
          </w:rPr>
          <w:t>Maslej等 2017及APA解读</w:t>
        </w:r>
      </w:hyperlink>
      <w:r/>
    </w:p>
    <w:p>
      <w:r>
        <w:t>实际需要的是解释人物为什么这样选择：他知道什么、想保住什么、会误判什么。理解反派动机也不等于认同反派。练习时可以让两个人对同一冲突各写一段自我辩护，再检查他们是否都在用作者同一种声音讲话。</w:t>
      </w:r>
    </w:p>
    <w:p>
      <w:pPr>
        <w:pStyle w:val="Heading2"/>
      </w:pPr>
      <w:r>
        <w:t>持续投入与调整方法</w:t>
      </w:r>
    </w:p>
    <w:p>
      <w:r>
        <w:t>522名成人的研究发现，“持续努力”与创造成就正相关，“兴趣始终不变”则呈负相关。这是一般创造力的相关性证据，提示坚持和固执应当区分。</w:t>
      </w:r>
      <w:hyperlink r:id="rId13">
        <w:r>
          <w:rPr>
            <w:color w:val="245A81"/>
          </w:rPr>
          <w:t>Lin等 首发2024 期刊2025</w:t>
        </w:r>
      </w:hyperlink>
      <w:r/>
    </w:p>
    <w:p>
      <w:r>
        <w:t>训练建议：坚持把当前小故事收束，同时允许修改写法、缩小规模。连续卡住时，先检查目标、阻碍和下一步行动，不急着把问题归咎于意志力。</w:t>
      </w:r>
    </w:p>
    <w:p>
      <w:pPr>
        <w:pStyle w:val="Heading2"/>
      </w:pPr>
      <w:r>
        <w:t>容许初稿不成熟</w:t>
      </w:r>
    </w:p>
    <w:p>
      <w:r>
        <w:t>能容忍暂时写得普通，才有材料可修改。将起草和评价分成两个时段，是实用工作方法；“越自信越好”或“越痛苦越有创造力”都不是本报告得出的结论。</w:t>
      </w:r>
    </w:p>
    <w:p>
      <w:pPr>
        <w:spacing w:before="100"/>
      </w:pPr>
      <w:r>
        <w:rPr>
          <w:color w:val="505050"/>
          <w:sz w:val="17"/>
        </w:rPr>
        <w:t>来源详情：Kaufman等，Journal of Personality 84，248–258；Maslej、Oatley、Mar，Psychology of Aesthetics Creativity and the Arts 11，487–499，APA解读发表于2017-11-29；Lin等，The Journal of Creative Behavior 59，e638。上述研究均不能给出新人商业成功概率。</w:t>
      </w:r>
    </w:p>
    <w:p>
      <w:r>
        <w:br w:type="page"/>
      </w:r>
    </w:p>
    <w:p>
      <w:pPr>
        <w:pStyle w:val="Heading1"/>
      </w:pPr>
      <w:r>
        <w:t>写作能力要落到读者看得见的文本</w:t>
      </w:r>
    </w:p>
    <w:p>
      <w:pPr>
        <w:pStyle w:val="Heading2"/>
      </w:pPr>
      <w:r>
        <w:t>观察与素材转化</w:t>
      </w:r>
    </w:p>
    <w:p>
      <w:r>
        <w:t>生活经验提供原料，取舍和表达让原料成为小说。Open University课程强调细节观察与感官描述，但这不意味着把所有见闻都写进去。</w:t>
      </w:r>
      <w:hyperlink r:id="rId14">
        <w:r>
          <w:rPr>
            <w:color w:val="245A81"/>
          </w:rPr>
          <w:t>观察与细节</w:t>
        </w:r>
      </w:hyperlink>
      <w:r/>
    </w:p>
    <w:p>
      <w:r>
        <w:t>原创示例：“他很紧张”只下了结论；“他把工牌翻到背面，等电梯门开了才抬头”给了读者可以理解的动作。后一种写法也并非总更好：不重要的过场可以概述，关键选择才值得展开。</w:t>
      </w:r>
    </w:p>
    <w:p>
      <w:pPr>
        <w:pStyle w:val="Heading2"/>
      </w:pPr>
      <w:r>
        <w:t>因果和冲突</w:t>
      </w:r>
    </w:p>
    <w:p>
      <w:r>
        <w:t>人物想要某件事，遇到阻力，采取行动，并承担结果，故事才会向前移动。课程的试读问题直接检查因果、冲突及人物表现。</w:t>
      </w:r>
      <w:hyperlink r:id="rId15">
        <w:r>
          <w:rPr>
            <w:color w:val="245A81"/>
          </w:rPr>
          <w:t>分享故事的评估问题</w:t>
        </w:r>
      </w:hyperlink>
      <w:r/>
    </w:p>
    <w:p>
      <w:r>
        <w:t>训练建议：把五个场景接成“因为上一场的选择，所以这一场发生”。如果场景之间主要靠无关巧合连接，先修因果，不先润色句子。巧合可以引发麻烦，但反复靠巧合解决关键麻烦，会削弱人物行动的意义。</w:t>
      </w:r>
    </w:p>
    <w:p>
      <w:pPr>
        <w:pStyle w:val="Heading2"/>
      </w:pPr>
      <w:r>
        <w:t>语言与叙事视角</w:t>
      </w:r>
    </w:p>
    <w:p>
      <w:r>
        <w:t>基础文笔包括信息清楚、动作具体、语气合适、视角稳定。修辞只是一部分。课程编辑示例通过删除拥挤的修饰和无效信息，让动作与人物更突出。</w:t>
      </w:r>
      <w:hyperlink r:id="rId16">
        <w:r>
          <w:rPr>
            <w:color w:val="245A81"/>
          </w:rPr>
          <w:t>编辑中的取舍</w:t>
        </w:r>
      </w:hyperlink>
      <w:r/>
    </w:p>
    <w:p>
      <w:r>
        <w:t>训练建议：检查每段由谁感知、谁知道这些信息；把无法区分说话者的对话重写一次；删去重复解释，而不机械追求短句或固定删减比例。</w:t>
      </w:r>
    </w:p>
    <w:p>
      <w:pPr>
        <w:pStyle w:val="Heading2"/>
      </w:pPr>
      <w:r>
        <w:t>修改与判断</w:t>
      </w:r>
    </w:p>
    <w:p>
      <w:r>
        <w:t>愿意删除自己喜欢但不服务故事的段落，是一种重要工作能力。课程明确区分自由起草和后续编辑，强调修改要使表达更准确。</w:t>
      </w:r>
      <w:hyperlink r:id="rId17">
        <w:r>
          <w:rPr>
            <w:color w:val="245A81"/>
          </w:rPr>
          <w:t>Editing is your friend</w:t>
        </w:r>
      </w:hyperlink>
      <w:r/>
    </w:p>
    <w:p>
      <w:r>
        <w:t>建议按“故事是否成立→章节是否推进→人物是否可信→语言是否顺畅”检查。顺序可调整，但只修错别字不等于已经改好结构问题。</w:t>
      </w:r>
    </w:p>
    <w:p>
      <w:pPr>
        <w:spacing w:before="100"/>
      </w:pPr>
      <w:r>
        <w:rPr>
          <w:color w:val="505050"/>
          <w:sz w:val="17"/>
        </w:rPr>
        <w:t>来源详情：本页链接均为The Open University的Start writing fiction课程，页面未单列修订日期，访问于2026-09-08。它们是教学材料，不是某项训练能提高签约率的实验结果；本页练习和示例为本报告提出。</w:t>
      </w:r>
    </w:p>
    <w:p>
      <w:r>
        <w:br w:type="page"/>
      </w:r>
    </w:p>
    <w:p>
      <w:pPr>
        <w:pStyle w:val="Heading1"/>
      </w:pPr>
      <w:r>
        <w:t>连载会额外考验交付和读者意识</w:t>
      </w:r>
    </w:p>
    <w:p>
      <w:pPr>
        <w:pStyle w:val="Heading2"/>
      </w:pPr>
      <w:r>
        <w:t>一章有所得 下一章有期待</w:t>
      </w:r>
    </w:p>
    <w:p>
      <w:r>
        <w:t>网文作家知白在自述中强调，每章提供相对完整的核心内容，并通过若干章节组成更大的故事。这是对章节价值很有用的经验，但不是所有题材都应照搬的节奏公式。</w:t>
      </w:r>
      <w:hyperlink r:id="rId18">
        <w:r>
          <w:rPr>
            <w:color w:val="245A81"/>
          </w:rPr>
          <w:t>知白 2022</w:t>
        </w:r>
      </w:hyperlink>
      <w:r/>
    </w:p>
    <w:p>
      <w:r>
        <w:t>训练建议：每章结束时写下“读者这一章获得了什么”。可以是一个答案、一次关系变化、一个真实的代价，也可以是情绪得到回应。结尾的期待应从尚未解决的冲突生长出来；只拖延答案而长期不兑现，很难建立信任。</w:t>
      </w:r>
    </w:p>
    <w:p>
      <w:pPr>
        <w:pStyle w:val="Heading2"/>
      </w:pPr>
      <w:r>
        <w:t>能维持长篇的约束</w:t>
      </w:r>
    </w:p>
    <w:p>
      <w:r>
        <w:t>建议维护简短的连续性记录：时间、人物知情范围、能力边界、关系变化和未回应伏笔。大纲的用途是减少自相矛盾；它可以修订，无需为了显得专业先造出庞大设定库。</w:t>
      </w:r>
    </w:p>
    <w:p>
      <w:r>
        <w:t>可以先确定一个故事单元的结束状态和几处关键选择，再细化近期章节。这是本报告推荐的入门方法，不是所有作家的共同流程。故事规模应当适应你实际能维持的时间和产出。</w:t>
      </w:r>
    </w:p>
    <w:p>
      <w:pPr>
        <w:pStyle w:val="Heading2"/>
      </w:pPr>
      <w:r>
        <w:t>喜欢读者要的东西 或者认真理解它</w:t>
      </w:r>
    </w:p>
    <w:p>
      <w:r>
        <w:t>读者意识意味着知道作品许诺的是悬念、成长、关系、幽默还是别的体验，并持续兑现。不是所有读者都想要同一种“爽”，也不是每章都必须打脸、升级或反转。</w:t>
      </w:r>
    </w:p>
    <w:p>
      <w:r>
        <w:t>紫金陈在访谈中谈到题材研究、人物视角和反复重写。他的路径说明商业考量可以与创作要求并存；但其偏向出版与影视改编的模式，与高频长篇连载不同，不能作为新人日更与收入的参照。</w:t>
      </w:r>
      <w:hyperlink r:id="rId19">
        <w:r>
          <w:rPr>
            <w:color w:val="245A81"/>
          </w:rPr>
          <w:t>紫金陈访谈 2024</w:t>
        </w:r>
      </w:hyperlink>
      <w:r/>
    </w:p>
    <w:p>
      <w:pPr>
        <w:pStyle w:val="Heading2"/>
      </w:pPr>
      <w:r>
        <w:t>反馈有价值 作者仍需判断</w:t>
      </w:r>
    </w:p>
    <w:p>
      <w:r>
        <w:t>课程建议认真听取反馈，但由作者决定接受哪些意见。</w:t>
      </w:r>
      <w:hyperlink r:id="rId20">
        <w:r>
          <w:rPr>
            <w:color w:val="245A81"/>
          </w:rPr>
          <w:t>Receiving feedback</w:t>
        </w:r>
      </w:hyperlink>
      <w:r/>
    </w:p>
    <w:p>
      <w:r>
        <w:t>建议优先处理多人指出的具体理解障碍；对“我不喜欢这个题材”先判断是否读者不匹配。既不凭一条评论推翻主线，也不把所有问题都归因读者不懂。</w:t>
      </w:r>
    </w:p>
    <w:p>
      <w:pPr>
        <w:spacing w:before="100"/>
      </w:pPr>
      <w:r>
        <w:rPr>
          <w:color w:val="505050"/>
          <w:sz w:val="17"/>
        </w:rPr>
        <w:t>来源详情：知白，《万千错处，终有真我》，中国作家网，2022-02-11；张小童专访紫金陈，《写作和人生是一个正反馈的过程》，文艺报，2024-02-02；反馈课程为Open University。作者自述有成功者选择偏差，不能证明其方法普遍有效。</w:t>
      </w:r>
    </w:p>
    <w:p>
      <w:r>
        <w:br w:type="page"/>
      </w:r>
    </w:p>
    <w:p>
      <w:pPr>
        <w:pStyle w:val="Heading1"/>
      </w:pPr>
      <w:r>
        <w:t>平台规则把商业要求变成具体门槛</w:t>
      </w:r>
    </w:p>
    <w:p>
      <w:r>
        <w:t>以下用番茄的可核实官方页面说明流程，不表示已经替你选择平台。规则核验日期为2026-09-08；正式投稿前应重新查看后台与公告。</w:t>
      </w:r>
    </w:p>
    <w:p>
      <w:pPr>
        <w:pStyle w:val="Heading2"/>
      </w:pPr>
      <w:r>
        <w:t>申请资格与签约评估不同</w:t>
      </w:r>
    </w:p>
    <w:p>
      <w:r>
        <w:t>官方签约说明列出2万、5万、8万字各一次申请机会，并评估题材、节奏、人设、开篇、代入感及主线等。达到申请字数不能保证签约。官方同时说明没有强制更新要求，但建议保持稳定更新。</w:t>
      </w:r>
      <w:hyperlink r:id="rId10">
        <w:r>
          <w:rPr>
            <w:color w:val="245A81"/>
          </w:rPr>
          <w:t>番茄签约流程 2026-05-25</w:t>
        </w:r>
      </w:hyperlink>
      <w:r/>
    </w:p>
    <w:p>
      <w:pPr>
        <w:pStyle w:val="Heading2"/>
      </w:pPr>
      <w:r>
        <w:t>签约与推荐不同</w:t>
      </w:r>
    </w:p>
    <w:p>
      <w:r>
        <w:t>7月发布的推荐指南规定，主动申请需已签约、达到8万字、具备符合要求的封面，并连续3日每天更新至少4000字；随后仍需通过推荐评估。这些条件属于该流程，不是“新人训练每天必须写4000字”。指南还建议结合章节读完率、追读率与评论定位内容问题。</w:t>
      </w:r>
      <w:hyperlink r:id="rId21">
        <w:r>
          <w:rPr>
            <w:color w:val="245A81"/>
          </w:rPr>
          <w:t>推荐验证期指南 2026-07-08</w:t>
        </w:r>
      </w:hyperlink>
      <w:r/>
    </w:p>
    <w:p>
      <w:pPr>
        <w:pStyle w:val="Heading2"/>
      </w:pPr>
      <w:r>
        <w:t>分成与保底不同</w:t>
      </w:r>
    </w:p>
    <w:p>
      <w:r>
        <w:t>官方福利页将独家分成与优质保底分开，后者面向业内高人气或有突出历史成绩的作家。不能把保底宣传上限当成普通新人的可预期收入。</w:t>
      </w:r>
      <w:hyperlink r:id="rId22">
        <w:r>
          <w:rPr>
            <w:color w:val="245A81"/>
          </w:rPr>
          <w:t>番茄作家福利</w:t>
        </w:r>
      </w:hyperlink>
      <w:r/>
    </w:p>
    <w:p>
      <w:pPr>
        <w:pStyle w:val="Heading2"/>
      </w:pPr>
      <w:r>
        <w:t>对能力培养的实际含义</w:t>
      </w:r>
    </w:p>
    <w:p>
      <w:pPr>
        <w:pStyle w:val="ListBullet"/>
      </w:pPr>
      <w:r>
        <w:t>开篇要让读者理解故事承诺，正文要持续支持这份承诺。</w:t>
      </w:r>
    </w:p>
    <w:p>
      <w:pPr>
        <w:pStyle w:val="ListBullet"/>
      </w:pPr>
      <w:r>
        <w:t>更新量要经过真实试写验证；把构思和改稿时间一起计入。</w:t>
      </w:r>
    </w:p>
    <w:p>
      <w:pPr>
        <w:pStyle w:val="ListBullet"/>
      </w:pPr>
      <w:r>
        <w:t>数据不好时拆查曝光、包装、读者匹配和内容，不立即诊断为没有天赋。</w:t>
      </w:r>
    </w:p>
    <w:p>
      <w:pPr>
        <w:pStyle w:val="ListBullet"/>
      </w:pPr>
      <w:r>
        <w:t>有申请资格、过评估、有人持续阅读和收入稳定，应分别记录。</w:t>
      </w:r>
    </w:p>
    <w:p>
      <w:pPr>
        <w:pStyle w:val="Heading2"/>
      </w:pPr>
      <w:r>
        <w:t>当前不能得出的商业结论</w:t>
      </w:r>
    </w:p>
    <w:p>
      <w:r>
        <w:t>本次未取得能可靠代表普通新人的签约率、收入中位数或回本时间，因此不提供“写多久能月入多少”的数字。起点官方政策正文未能完整访问，本报告不列它的现行字数或全勤门槛，也不把番茄规则泛化到全行业。</w:t>
      </w:r>
    </w:p>
    <w:p>
      <w:pPr>
        <w:spacing w:before="100"/>
      </w:pPr>
      <w:r>
        <w:rPr>
          <w:color w:val="505050"/>
          <w:sz w:val="17"/>
        </w:rPr>
        <w:t>来源详情：前三项均为番茄小说网官方页面；福利页未显示修订日期，访问于2026-09-08。签约与推荐正文通过官方网页内嵌数据核验。这里说明的是流程和适用对象，不是合同解释或个体收益预测。</w:t>
      </w:r>
    </w:p>
    <w:p>
      <w:r>
        <w:br w:type="page"/>
      </w:r>
    </w:p>
    <w:p>
      <w:pPr>
        <w:pStyle w:val="Heading1"/>
      </w:pPr>
      <w:r>
        <w:t>几种常见判断需要修正</w:t>
      </w:r>
    </w:p>
    <w:p>
      <w:pPr>
        <w:pStyle w:val="Heading2"/>
      </w:pPr>
      <w:r>
        <w:t>有赚钱动机就写不好</w:t>
      </w:r>
    </w:p>
    <w:p>
      <w:r>
        <w:t>不能这样推断。Amabile的72人短诗实验中，突出外部动机的组在随后创作评分上较低，但强化内在动机的组相对对照没有显著优势。实验时间短、任务是诗歌，不能直接外推职业小说。</w:t>
      </w:r>
      <w:hyperlink r:id="rId23">
        <w:r>
          <w:rPr>
            <w:color w:val="245A81"/>
          </w:rPr>
          <w:t>Amabile 1985</w:t>
        </w:r>
      </w:hyperlink>
      <w:r/>
    </w:p>
    <w:p>
      <w:r>
        <w:t>另一方面，包含69个独立样本的元分析发现，奖励效果与奖励条件、反馈和自主权有关，并非一律伤害创造力。</w:t>
      </w:r>
      <w:hyperlink r:id="rId24">
        <w:r>
          <w:rPr>
            <w:color w:val="245A81"/>
          </w:rPr>
          <w:t>Byron与Khazanchi 2012</w:t>
        </w:r>
      </w:hyperlink>
      <w:r/>
    </w:p>
    <w:p>
      <w:r>
        <w:t>实践建议是把市场分析、起草和复盘分开进行。可以认真考虑收益，同时在落笔时集中解决人物与情节问题，不必每写一段就检查它能赚多少钱。</w:t>
      </w:r>
    </w:p>
    <w:p>
      <w:pPr>
        <w:pStyle w:val="Heading2"/>
      </w:pPr>
      <w:r>
        <w:t>一直坚持同一本书就一定有结果</w:t>
      </w:r>
    </w:p>
    <w:p>
      <w:r>
        <w:t>坚持应当伴随检查和调整。大规模毅力元分析对“毅力普遍决定成功”的说法提出质疑；它也没有提供小说行业的成功公式。</w:t>
      </w:r>
      <w:hyperlink r:id="rId25">
        <w:r>
          <w:rPr>
            <w:color w:val="245A81"/>
          </w:rPr>
          <w:t>Credé等 2017</w:t>
        </w:r>
      </w:hyperlink>
      <w:r/>
    </w:p>
    <w:p>
      <w:r>
        <w:t>实际建议：给试作设定一个能完成的故事单元，完成并修改后再评估。尚未完成就不断换题，和发现问题后永不调整，都会妨碍积累有效经验。</w:t>
      </w:r>
    </w:p>
    <w:p>
      <w:pPr>
        <w:pStyle w:val="Heading2"/>
      </w:pPr>
      <w:r>
        <w:t>必须内向敏感 或者经历很多苦难</w:t>
      </w:r>
    </w:p>
    <w:p>
      <w:r>
        <w:t>本次检索没有建立这些特质是必要条件的证据。不要把成功作家的自我描述当作所有人的准入标准。对人物处境的关注，可以通过观察、访问资料和反复写作培养。</w:t>
      </w:r>
    </w:p>
    <w:p>
      <w:pPr>
        <w:pStyle w:val="Heading2"/>
      </w:pPr>
      <w:r>
        <w:t>阅读很多就自然会写</w:t>
      </w:r>
    </w:p>
    <w:p>
      <w:r>
        <w:t>阅读能提供可分析的实例，但创作还要求选择、组织与修改。建议在阅读时标出具体机制，例如信息何时揭示、一个冲突怎样改变局面；随后自己写一个不同情节来试验。把阅读量当成写作能力的替代指标，并不可靠。</w:t>
      </w:r>
    </w:p>
    <w:p>
      <w:pPr>
        <w:spacing w:before="100"/>
      </w:pPr>
      <w:r>
        <w:rPr>
          <w:color w:val="505050"/>
          <w:sz w:val="17"/>
        </w:rPr>
        <w:t>来源详情：Amabile，Journal of Personality and Social Psychology 48，393–399，1985；Byron与Khazanchi，Psychological Bulletin 138，809–830，2012；Credé、Tynan、Harms，Journal of Personality and Social Psychology 113，492–511，2017。后两项主要依据原论文摘要，研究任务并非中国商业网文。</w:t>
      </w:r>
    </w:p>
    <w:p>
      <w:r>
        <w:br w:type="page"/>
      </w:r>
    </w:p>
    <w:p>
      <w:pPr>
        <w:pStyle w:val="Heading1"/>
      </w:pPr>
      <w:r>
        <w:t>用两周试作验证自己的起点</w:t>
      </w:r>
    </w:p>
    <w:p>
      <w:r>
        <w:t>以下是建议性的小规模训练，不是心理测量、平台考核或收益测试。没有作品样本和真实时间记录，目前不宜判断你适合或不适合写作。</w:t>
      </w:r>
    </w:p>
    <w:p>
      <w:pPr>
        <w:pStyle w:val="Heading2"/>
      </w:pPr>
      <w:r>
        <w:t>前三天 明确写给谁</w:t>
      </w:r>
    </w:p>
    <w:p>
      <w:r>
        <w:t>选择一个你愿意持续阅读的细分类别。读几部同类作品的开篇，混合热门作品与普通新作，避免只看成功案例。记录每章发生了什么、你为何继续或停止。用一句话说清自己的主角、目标、阻碍及主要阅读体验。</w:t>
      </w:r>
    </w:p>
    <w:p>
      <w:pPr>
        <w:pStyle w:val="Heading2"/>
      </w:pPr>
      <w:r>
        <w:t>第四至第十天 写完一个故事单元</w:t>
      </w:r>
    </w:p>
    <w:p>
      <w:r>
        <w:t>先安排五至八章，每章长度按实际能力决定。这个章数只是控制练习规模，不是签约标准。设定一个阶段结局，连续写到该结局；每天记录构思、初稿和修改耗时。某天写不动时，把下一场的行动写清楚，再继续正文。</w:t>
      </w:r>
    </w:p>
    <w:p>
      <w:r>
        <w:t>不要为了完成字数堆设定。结束时至少能解释：主角做了什么选择，这个选择带来什么代价，故事状态与开头有什么不同。</w:t>
      </w:r>
    </w:p>
    <w:p>
      <w:pPr>
        <w:pStyle w:val="Heading2"/>
      </w:pPr>
      <w:r>
        <w:t>第十一至第十二天 获取少量目标读者反馈</w:t>
      </w:r>
    </w:p>
    <w:p>
      <w:r>
        <w:t>邀请三至五名愿意试读同类小说的人。这个人数只服务定性找问题，不能代表市场。先让他们独立回答：主角想干什么；哪一段开始困惑或想停；最期待后面发生什么。不要提前解释剧情，也不要只问“好不好看”。</w:t>
      </w:r>
    </w:p>
    <w:p>
      <w:pPr>
        <w:pStyle w:val="Heading2"/>
      </w:pPr>
      <w:r>
        <w:t>第十三至第十四天 修改并复盘</w:t>
      </w:r>
    </w:p>
    <w:p>
      <w:r>
        <w:t>选择一到两个重复出现的问题，保存原稿后修改。对照前后版本，观察理解障碍是否减少。再次阅读可能受熟悉效应影响，因此不要把少量好评写成改稿有效的严格证明。</w:t>
      </w:r>
    </w:p>
    <w:p>
      <w:pPr>
        <w:pStyle w:val="Heading2"/>
      </w:pPr>
      <w:r>
        <w:t>根据行为决定下一步</w:t>
      </w:r>
    </w:p>
    <w:p>
      <w:r>
        <w:t>能完成也能改：可以扩大试作，并核对目标平台条件。能想但难落笔：缩小场景，补练行动与因果。写得快但读者困惑：先改表达与信息顺序。读者愿读但自己难持续：调整篇幅和节奏，再评估连载方式。</w:t>
      </w:r>
    </w:p>
    <w:p>
      <w:r>
        <w:t>这次训练最值得保留的结果，是修改后的正文、真实耗时、具体读者问题及修改决定。它可以说明下一步该练什么，不能证明将来一定能签约变现。</w:t>
      </w:r>
    </w:p>
    <w:p>
      <w:r>
        <w:br w:type="page"/>
      </w:r>
    </w:p>
    <w:p>
      <w:pPr>
        <w:pStyle w:val="Heading1"/>
      </w:pPr>
      <w:r>
        <w:t>如何使用这份研究继续创作</w:t>
      </w:r>
    </w:p>
    <w:p>
      <w:pPr>
        <w:pStyle w:val="Heading2"/>
      </w:pPr>
      <w:r>
        <w:t>已经有较好依据的部分</w:t>
      </w:r>
    </w:p>
    <w:p>
      <w:r>
        <w:t>写作包含可以训练的具体技能；作品能否被理解、人物是否可信、情节是否推进，都可以通过文本和试读讨论。开放性等心理倾向具有一定相关证据，但对商业成功的直接预测非常有限。平台评估进一步要求题材和作品表现符合其读者与流程。</w:t>
      </w:r>
    </w:p>
    <w:p>
      <w:pPr>
        <w:pStyle w:val="Heading2"/>
      </w:pPr>
      <w:r>
        <w:t>仍然存在的证据边界</w:t>
      </w:r>
    </w:p>
    <w:p>
      <w:r>
        <w:t>心理研究多来自非中国样本，有些仅使用短诗或人物小传任务。人格相关性不证明因果；大学课程不是签约训练效果实验；作家访谈存在成功者偏差；平台公告能说明规则，无法单独说明普通作者的收入分布。</w:t>
      </w:r>
    </w:p>
    <w:p>
      <w:r>
        <w:t>本报告把这些来源用于不同问题，没有将它们合并成一个天赋分数。未建立证据的“必备人格”，应保留为未证实，而不是换个说法继续当门槛。</w:t>
      </w:r>
    </w:p>
    <w:p>
      <w:pPr>
        <w:pStyle w:val="Heading2"/>
      </w:pPr>
      <w:r>
        <w:t>项目已经准备好的内容</w:t>
      </w:r>
    </w:p>
    <w:p>
      <w:pPr>
        <w:pStyle w:val="ListBullet"/>
      </w:pPr>
      <w:r>
        <w:t>题材与读者定位：整理目标体验、同类作品和真实可用时间。</w:t>
      </w:r>
    </w:p>
    <w:p>
      <w:pPr>
        <w:pStyle w:val="ListBullet"/>
      </w:pPr>
      <w:r>
        <w:t>故事工作台：人物动机、阶段结局、分章安排和连续性记录。</w:t>
      </w:r>
    </w:p>
    <w:p>
      <w:pPr>
        <w:pStyle w:val="ListBullet"/>
      </w:pPr>
      <w:r>
        <w:t>正文章节模板：检查章节变化、期待与前后约束。</w:t>
      </w:r>
    </w:p>
    <w:p>
      <w:pPr>
        <w:pStyle w:val="ListBullet"/>
      </w:pPr>
      <w:r>
        <w:t>写作验证记录：保留产出耗时、具体试读反馈及修改依据。</w:t>
      </w:r>
    </w:p>
    <w:p>
      <w:pPr>
        <w:pStyle w:val="Heading2"/>
      </w:pPr>
      <w:r>
        <w:t>下一步最值得做的决定</w:t>
      </w:r>
    </w:p>
    <w:p>
      <w:r>
        <w:t>先在“愿意长期读、手里有素材、能够写出明确冲突”的交集中，确定一个细分类别。随后做小规模试作，再决定平台与连载规模。无需等自己具备全部理想特质，才开始第一轮练习。</w:t>
      </w:r>
    </w:p>
    <w:p>
      <w:pPr>
        <w:spacing w:before="100"/>
      </w:pPr>
      <w:r>
        <w:rPr>
          <w:color w:val="505050"/>
          <w:sz w:val="17"/>
        </w:rPr>
        <w:t>研究与整理：Codex，2026-09-08。范围为中文网络小说连载入门与签约变现准备，未覆盖所有平台、题材或出版路径。文中明确标出的训练与判断框架属于综合建议，不是已验证的成功率模型。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83" w:lineRule="auto"/>
      <w:outlineLvl w:val="0"/>
    </w:pPr>
    <w:rPr>
      <w:rFonts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83" w:lineRule="auto"/>
      <w:outlineLvl w:val="1"/>
    </w:pPr>
    <w:rPr>
      <w:rFonts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83" w:lineRule="auto"/>
      <w:contextualSpacing/>
    </w:pPr>
    <w:rPr>
      <w:rFonts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3" w:lineRule="auto"/>
      <w:contextualSpacing/>
    </w:pPr>
    <w:rPr>
      <w:rFonts w:ascii="Arial Unicode MS" w:hAnsi="Arial Unicode MS" w:eastAsia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pen.ac.uk/courses/modules/a215/" TargetMode="External"/><Relationship Id="rId10" Type="http://schemas.openxmlformats.org/officeDocument/2006/relationships/hyperlink" Target="https://fanqienovel.com/writer/zone/article/7198471813561581605" TargetMode="External"/><Relationship Id="rId11" Type="http://schemas.openxmlformats.org/officeDocument/2006/relationships/hyperlink" Target="https://onlinelibrary.wiley.com/doi/abs/10.1111/jopy.12156" TargetMode="External"/><Relationship Id="rId12" Type="http://schemas.openxmlformats.org/officeDocument/2006/relationships/hyperlink" Target="https://www.apa.org/pubs/highlights/spotlight/issue-105" TargetMode="External"/><Relationship Id="rId13" Type="http://schemas.openxmlformats.org/officeDocument/2006/relationships/hyperlink" Target="https://onlinelibrary.wiley.com/doi/abs/10.1002/jocb.638" TargetMode="External"/><Relationship Id="rId14" Type="http://schemas.openxmlformats.org/officeDocument/2006/relationships/hyperlink" Target="https://www.open.edu/openlearn/mod/oucontent/view.php?id=20412&amp;section=2" TargetMode="External"/><Relationship Id="rId15" Type="http://schemas.openxmlformats.org/officeDocument/2006/relationships/hyperlink" Target="https://www.open.edu/openlearn/mod/oucontent/view.php?id=101090&amp;section=_unit8.1" TargetMode="External"/><Relationship Id="rId16" Type="http://schemas.openxmlformats.org/officeDocument/2006/relationships/hyperlink" Target="https://www.open.edu/openlearn/mod/oucontent/view.php?id=20423&amp;section=2.3" TargetMode="External"/><Relationship Id="rId17" Type="http://schemas.openxmlformats.org/officeDocument/2006/relationships/hyperlink" Target="https://www.open.edu/openlearn/mod/oucontent/view.php?id=20423&amp;section=2.1" TargetMode="External"/><Relationship Id="rId18" Type="http://schemas.openxmlformats.org/officeDocument/2006/relationships/hyperlink" Target="https://www.chinawriter.com.cn/n1/2022/0211/c441011-32349952.html" TargetMode="External"/><Relationship Id="rId19" Type="http://schemas.openxmlformats.org/officeDocument/2006/relationships/hyperlink" Target="https://wyb.chinawriter.com.cn/content/202402/02/content73422.html" TargetMode="External"/><Relationship Id="rId20" Type="http://schemas.openxmlformats.org/officeDocument/2006/relationships/hyperlink" Target="https://www.open.edu/openlearn/mod/oucontent/view.php?id=20448&amp;section=3.2" TargetMode="External"/><Relationship Id="rId21" Type="http://schemas.openxmlformats.org/officeDocument/2006/relationships/hyperlink" Target="https://fanqienovel.com/writer/zone/article/7659317147297923134" TargetMode="External"/><Relationship Id="rId22" Type="http://schemas.openxmlformats.org/officeDocument/2006/relationships/hyperlink" Target="https://fanqienovel.com/welfare" TargetMode="External"/><Relationship Id="rId23" Type="http://schemas.openxmlformats.org/officeDocument/2006/relationships/hyperlink" Target="https://pages.pomona.edu/~ajr04747/Fall2008/Math58/Papers/Amabile_1985_psp-48-2-393.pdf" TargetMode="External"/><Relationship Id="rId24" Type="http://schemas.openxmlformats.org/officeDocument/2006/relationships/hyperlink" Target="https://pubmed.ncbi.nlm.nih.gov/22409506/" TargetMode="External"/><Relationship Id="rId25" Type="http://schemas.openxmlformats.org/officeDocument/2006/relationships/hyperlink" Target="https://pubmed.ncbi.nlm.nih.gov/2784553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网络小说写作者特质与训练报告</dc:title>
  <dc:subject>网络连载小说入门与签约变现准备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