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1A23" w:rsidRDefault="003B1257" w:rsidP="007C504E">
      <w:pPr>
        <w:pStyle w:val="berschriftSitzungMRP"/>
      </w:pPr>
      <w:r>
        <w:t>Nr. 1</w:t>
      </w:r>
      <w:r w:rsidR="000C1075">
        <w:tab/>
      </w:r>
      <w:r w:rsidR="00361A23">
        <w:t>Ministerrat, Wien, 23. Juli 1914</w:t>
      </w:r>
    </w:p>
    <w:p w:rsidR="00361A23" w:rsidRPr="007C504E" w:rsidRDefault="00361A23" w:rsidP="007C504E">
      <w:pPr>
        <w:pStyle w:val="Kopfregest-Namensliste"/>
      </w:pPr>
      <w:r>
        <w:t>RS</w:t>
      </w:r>
      <w:r w:rsidR="000C1075">
        <w:t>.</w:t>
      </w:r>
      <w:r w:rsidR="003B1257">
        <w:t xml:space="preserve"> P</w:t>
      </w:r>
      <w:r w:rsidR="00573E9D">
        <w:t>. Eh</w:t>
      </w:r>
      <w:r>
        <w:t xml:space="preserve">rhart; VS. Stürgkh; </w:t>
      </w:r>
      <w:proofErr w:type="spellStart"/>
      <w:r>
        <w:t>BdE.</w:t>
      </w:r>
      <w:proofErr w:type="spellEnd"/>
      <w:r>
        <w:t xml:space="preserve"> und anw. </w:t>
      </w:r>
      <w:r w:rsidRPr="007C504E">
        <w:t>(Stürgkh</w:t>
      </w:r>
      <w:r w:rsidR="003B1257" w:rsidRPr="007C504E">
        <w:t xml:space="preserve"> 23. 7.</w:t>
      </w:r>
      <w:r w:rsidRPr="007C504E">
        <w:t>), Georgi, Hochenburger, Heinold, Forster, Hussarek, Trnka, Schuster, Zenker, Engel, Morawski</w:t>
      </w:r>
      <w:r w:rsidR="003B1257" w:rsidRPr="007C504E">
        <w:t>.</w:t>
      </w:r>
    </w:p>
    <w:p w:rsidR="00333F01" w:rsidRDefault="00361A23" w:rsidP="007C504E">
      <w:pPr>
        <w:pStyle w:val="Kopfregest-TObersicht"/>
      </w:pPr>
      <w:r>
        <w:t>I. Mitteilungen über die politische Lage</w:t>
      </w:r>
      <w:r w:rsidR="00333F01">
        <w:t>.</w:t>
      </w:r>
    </w:p>
    <w:p w:rsidR="00333F01" w:rsidRDefault="00333F01" w:rsidP="007C504E">
      <w:pPr>
        <w:pStyle w:val="Kopfregest-TObersicht"/>
      </w:pPr>
      <w:r>
        <w:t>I</w:t>
      </w:r>
      <w:r w:rsidR="006A593C">
        <w:t>I</w:t>
      </w:r>
      <w:r>
        <w:t>.</w:t>
      </w:r>
      <w:r w:rsidR="00F8070A">
        <w:t xml:space="preserve"> </w:t>
      </w:r>
      <w:r>
        <w:t>V</w:t>
      </w:r>
      <w:r w:rsidR="00361A23" w:rsidRPr="007C504E">
        <w:t>erwendung des Landsturmes im Falle einer Mobilisierung</w:t>
      </w:r>
      <w:r>
        <w:t>.</w:t>
      </w:r>
    </w:p>
    <w:p w:rsidR="00333F01" w:rsidRDefault="00333F01" w:rsidP="007C504E">
      <w:pPr>
        <w:pStyle w:val="Kopfregest-TObersicht"/>
      </w:pPr>
      <w:r>
        <w:t>I</w:t>
      </w:r>
      <w:r w:rsidR="00361A23" w:rsidRPr="007C504E">
        <w:t xml:space="preserve">II. </w:t>
      </w:r>
      <w:r w:rsidR="006A593C" w:rsidRPr="007C504E">
        <w:t>Schließung</w:t>
      </w:r>
      <w:r w:rsidR="00361A23" w:rsidRPr="007C504E">
        <w:t xml:space="preserve"> d</w:t>
      </w:r>
      <w:r w:rsidR="000C1075" w:rsidRPr="007C504E">
        <w:t>er XXI. Session des Reichsrates;</w:t>
      </w:r>
      <w:r w:rsidR="00361A23" w:rsidRPr="007C504E">
        <w:t xml:space="preserve"> Einstellung der Sitzungen des Permanenzausschusses des Abgeordnet</w:t>
      </w:r>
      <w:r w:rsidR="000C1075" w:rsidRPr="007C504E">
        <w:t>enhauses für Sozialversicherung;</w:t>
      </w:r>
      <w:r w:rsidR="00361A23" w:rsidRPr="007C504E">
        <w:t xml:space="preserve"> </w:t>
      </w:r>
      <w:r w:rsidR="006A593C" w:rsidRPr="007C504E">
        <w:t>Schließung</w:t>
      </w:r>
      <w:r w:rsidR="00361A23" w:rsidRPr="007C504E">
        <w:t xml:space="preserve"> der Landtage von Dalmatien, Krain, Görz, Mähren, Oberösterreich, Niederösterreich, Schlesien und Steiermark und Vertagung der permanenten Landtagsausschüsse</w:t>
      </w:r>
      <w:r>
        <w:t>.</w:t>
      </w:r>
    </w:p>
    <w:p w:rsidR="00333F01" w:rsidRDefault="00333F01" w:rsidP="007C504E">
      <w:pPr>
        <w:pStyle w:val="Kopfregest-TObersicht"/>
      </w:pPr>
      <w:r>
        <w:t>I</w:t>
      </w:r>
      <w:r w:rsidR="00361A23">
        <w:t xml:space="preserve">V. Gesetzliche und administrative </w:t>
      </w:r>
      <w:r w:rsidR="006A593C">
        <w:t>Maßnahmen</w:t>
      </w:r>
      <w:r w:rsidR="00361A23">
        <w:t xml:space="preserve"> im Falle einer Mobilisierung</w:t>
      </w:r>
      <w:r>
        <w:t>.</w:t>
      </w:r>
    </w:p>
    <w:p w:rsidR="00361A23" w:rsidRDefault="00333F01" w:rsidP="007C504E">
      <w:pPr>
        <w:pStyle w:val="Kopfregest-TObersicht"/>
      </w:pPr>
      <w:r>
        <w:t>V</w:t>
      </w:r>
      <w:r w:rsidR="00361A23">
        <w:t>. Administrative Vorkehrungen auf der Basis des Kriegsleistungsgesetzes und interne administrative Vorbereitungen für den Fall einer Mobilisierung.</w:t>
      </w:r>
    </w:p>
    <w:p w:rsidR="00361A23" w:rsidRDefault="003B1257" w:rsidP="007C504E">
      <w:pPr>
        <w:pStyle w:val="ProtokollAktenzahlen"/>
      </w:pPr>
      <w:r>
        <w:t>KZ. 46</w:t>
      </w:r>
      <w:r w:rsidRPr="003B1257">
        <w:t xml:space="preserve"> </w:t>
      </w:r>
      <w:r w:rsidR="00361A23">
        <w:t>–</w:t>
      </w:r>
      <w:r>
        <w:t xml:space="preserve"> MRZ. 30</w:t>
      </w:r>
    </w:p>
    <w:p w:rsidR="00361A23" w:rsidRPr="007C504E" w:rsidRDefault="00361A23" w:rsidP="007C504E">
      <w:pPr>
        <w:pStyle w:val="Protokoll-berschrift"/>
      </w:pPr>
      <w:r>
        <w:t xml:space="preserve">Protokoll des zu Wien am 23. </w:t>
      </w:r>
      <w:r w:rsidRPr="007C504E">
        <w:t xml:space="preserve">Juli 1914 abgehaltenen Ministerrates unter dem Vorsitze </w:t>
      </w:r>
      <w:r w:rsidR="003B1257" w:rsidRPr="007C504E">
        <w:t>Sr.</w:t>
      </w:r>
      <w:r w:rsidRPr="007C504E">
        <w:t xml:space="preserve"> Exzellenz des Herrn Ministerpräsidenten Grafen Stürgkh.</w:t>
      </w:r>
    </w:p>
    <w:p w:rsidR="00361A23" w:rsidRDefault="00361A23" w:rsidP="007C504E">
      <w:pPr>
        <w:pStyle w:val="ProtokollTOPAbsatz1"/>
      </w:pPr>
      <w:r>
        <w:t xml:space="preserve">I. Der </w:t>
      </w:r>
      <w:r w:rsidRPr="007C504E">
        <w:rPr>
          <w:rStyle w:val="SprechendePerson"/>
        </w:rPr>
        <w:t>Ministerpräsident</w:t>
      </w:r>
      <w:r>
        <w:t xml:space="preserve"> bemerkt ein</w:t>
      </w:r>
      <w:r w:rsidR="003B1257">
        <w:t>leitend, er habe sich unter auß</w:t>
      </w:r>
      <w:r>
        <w:t>erordentlichen Verhältnissen veranlasst gesehen, den Ministerrat einzuberufen.</w:t>
      </w:r>
      <w:r w:rsidR="003B1257">
        <w:t xml:space="preserve"> </w:t>
      </w:r>
      <w:r w:rsidRPr="007C504E">
        <w:t xml:space="preserve">Die aus Anlass des fluchwürdigen Attentates vom 28. Juni geführten Untersuchungen hätten in unwiderleglicher Weise dargetan, dass in </w:t>
      </w:r>
      <w:hyperlink r:id="rId8" w:history="1">
        <w:r w:rsidR="00F8070A" w:rsidRPr="00F8070A">
          <w:rPr>
            <w:rStyle w:val="Hyperlink"/>
            <w:rFonts w:eastAsia="Times New Roman"/>
          </w:rPr>
          <w:t xml:space="preserve">Bosnien und der Hercegovina </w:t>
        </w:r>
      </w:hyperlink>
      <w:r w:rsidRPr="007C504E">
        <w:t>nicht nu</w:t>
      </w:r>
      <w:r w:rsidR="003B1257" w:rsidRPr="007C504E">
        <w:t>r ein weitverzweigtes Netz groß</w:t>
      </w:r>
      <w:r w:rsidRPr="007C504E">
        <w:t xml:space="preserve">serbischer Propaganda bestehe, sondern dass diese Bewegung von </w:t>
      </w:r>
      <w:hyperlink r:id="rId9" w:history="1">
        <w:r w:rsidR="00F8070A" w:rsidRPr="00F8070A">
          <w:rPr>
            <w:rStyle w:val="Hyperlink"/>
            <w:rFonts w:eastAsia="Times New Roman"/>
          </w:rPr>
          <w:t xml:space="preserve">Belgrad </w:t>
        </w:r>
      </w:hyperlink>
      <w:r w:rsidRPr="007C504E">
        <w:t xml:space="preserve">aus genährt werde und dass damit auch Persönlichkeiten des </w:t>
      </w:r>
      <w:hyperlink r:id="rId10" w:history="1">
        <w:r w:rsidR="00F8070A" w:rsidRPr="00F8070A">
          <w:rPr>
            <w:rStyle w:val="Hyperlink"/>
            <w:rFonts w:eastAsia="Times New Roman"/>
          </w:rPr>
          <w:t xml:space="preserve">Königreiches Serbien </w:t>
        </w:r>
      </w:hyperlink>
      <w:r w:rsidRPr="007C504E">
        <w:t>in höherer offizieller Stellung unleugbar in Verbindung stehen</w:t>
      </w:r>
      <w:r w:rsidR="00E43E6B" w:rsidRPr="00CE7B09">
        <w:rPr>
          <w:rStyle w:val="Funotenzeichen"/>
        </w:rPr>
        <w:footnoteReference w:id="1"/>
      </w:r>
      <w:r w:rsidRPr="007C504E">
        <w:t>.</w:t>
      </w:r>
      <w:r w:rsidR="003B1257" w:rsidRPr="007C504E">
        <w:t xml:space="preserve"> </w:t>
      </w:r>
      <w:r w:rsidRPr="007C504E">
        <w:t xml:space="preserve">Was das Faktum vom 28. Juni selbst anbelangt, so sei das Attentat zwar, wie bekannt, durch Angehörige </w:t>
      </w:r>
      <w:hyperlink r:id="rId11" w:history="1">
        <w:r w:rsidRPr="00F8070A">
          <w:rPr>
            <w:rStyle w:val="Hyperlink"/>
          </w:rPr>
          <w:t xml:space="preserve">Bosniens und der </w:t>
        </w:r>
        <w:proofErr w:type="spellStart"/>
        <w:r w:rsidRPr="00F8070A">
          <w:rPr>
            <w:rStyle w:val="Hyperlink"/>
          </w:rPr>
          <w:t>Hercegovina</w:t>
        </w:r>
      </w:hyperlink>
      <w:r w:rsidR="00F8070A">
        <w:t>v</w:t>
      </w:r>
      <w:proofErr w:type="spellEnd"/>
      <w:r w:rsidRPr="007C504E">
        <w:t xml:space="preserve"> verübt, der Plan aber in </w:t>
      </w:r>
      <w:hyperlink r:id="rId12" w:history="1">
        <w:r w:rsidR="00F8070A" w:rsidRPr="00F8070A">
          <w:rPr>
            <w:rStyle w:val="Hyperlink"/>
            <w:rFonts w:eastAsia="Times New Roman"/>
          </w:rPr>
          <w:t>Belgrad</w:t>
        </w:r>
      </w:hyperlink>
      <w:r w:rsidRPr="007C504E">
        <w:t xml:space="preserve"> ausgeheckt und von dort</w:t>
      </w:r>
      <w:r w:rsidR="003B1257" w:rsidRPr="007C504E">
        <w:t xml:space="preserve"> </w:t>
      </w:r>
      <w:r w:rsidRPr="007C504E">
        <w:t>aus in die</w:t>
      </w:r>
      <w:r w:rsidR="003B1257" w:rsidRPr="007C504E">
        <w:t xml:space="preserve"> </w:t>
      </w:r>
      <w:r w:rsidRPr="007C504E">
        <w:t>Wege geleitet worden und es seien offizielle serbische Persönlichkeiten unter den Urhebern und Förderern jenes Verbrechens gewesen.</w:t>
      </w:r>
      <w:r w:rsidR="003B1257" w:rsidRPr="007C504E">
        <w:t xml:space="preserve"> </w:t>
      </w:r>
      <w:r>
        <w:t xml:space="preserve">Diese Sachlage nötige zu einer ernsten Auseinandersetzung mit dem </w:t>
      </w:r>
      <w:hyperlink r:id="rId13" w:history="1">
        <w:r w:rsidR="00F8070A" w:rsidRPr="00F8070A">
          <w:rPr>
            <w:rStyle w:val="Hyperlink"/>
            <w:rFonts w:eastAsia="Times New Roman"/>
          </w:rPr>
          <w:t>Königreiche Serbien</w:t>
        </w:r>
      </w:hyperlink>
      <w:r w:rsidR="000C1075">
        <w:t>,</w:t>
      </w:r>
      <w:r>
        <w:t xml:space="preserve"> und zu diesem Zwecke sei am heutigen Tage ein bedeutungsvoller Schritt des </w:t>
      </w:r>
      <w:proofErr w:type="spellStart"/>
      <w:r>
        <w:t>auswärtigen</w:t>
      </w:r>
      <w:proofErr w:type="spellEnd"/>
      <w:r>
        <w:t xml:space="preserve"> Amtes bei der </w:t>
      </w:r>
      <w:hyperlink r:id="rId14" w:history="1">
        <w:r w:rsidR="00B24E5A" w:rsidRPr="00B24E5A">
          <w:rPr>
            <w:rStyle w:val="Hyperlink"/>
            <w:rFonts w:eastAsia="Times New Roman"/>
          </w:rPr>
          <w:t xml:space="preserve">serbischen Regierung </w:t>
        </w:r>
      </w:hyperlink>
      <w:r>
        <w:t>unternommen worden</w:t>
      </w:r>
      <w:r w:rsidR="00E43E6B" w:rsidRPr="00CE7B09">
        <w:rPr>
          <w:rStyle w:val="Funotenzeichen"/>
        </w:rPr>
        <w:footnoteReference w:id="2"/>
      </w:r>
      <w:r>
        <w:t xml:space="preserve">. Dieser Schritt habe den Zweck, die </w:t>
      </w:r>
      <w:hyperlink r:id="rId15" w:history="1">
        <w:r w:rsidR="00B24E5A" w:rsidRPr="00B24E5A">
          <w:rPr>
            <w:rStyle w:val="Hyperlink"/>
            <w:rFonts w:eastAsia="Times New Roman"/>
          </w:rPr>
          <w:t xml:space="preserve">genannte Regierung </w:t>
        </w:r>
      </w:hyperlink>
      <w:r w:rsidR="003B1257">
        <w:t>zur feierlichen Ü</w:t>
      </w:r>
      <w:r>
        <w:t xml:space="preserve">bernahme ganz konkreter Leistungen und Verbindlichkeiten zu veranlassen, die die volle Gewähr für das Aufhören der von </w:t>
      </w:r>
      <w:hyperlink r:id="rId16" w:history="1">
        <w:r w:rsidR="00F8070A" w:rsidRPr="00F8070A">
          <w:rPr>
            <w:rStyle w:val="Hyperlink"/>
            <w:rFonts w:eastAsia="Times New Roman"/>
          </w:rPr>
          <w:t xml:space="preserve">Belgrad </w:t>
        </w:r>
      </w:hyperlink>
      <w:r>
        <w:t>aus gegen die Integrität der Monarchie gerichteten Aktion verbürgen.</w:t>
      </w:r>
      <w:r w:rsidR="003B1257">
        <w:t xml:space="preserve"> </w:t>
      </w:r>
      <w:r>
        <w:t xml:space="preserve">Der </w:t>
      </w:r>
      <w:hyperlink r:id="rId17" w:history="1">
        <w:r w:rsidR="00B24E5A" w:rsidRPr="00B24E5A">
          <w:rPr>
            <w:rStyle w:val="Hyperlink"/>
            <w:rFonts w:eastAsia="Times New Roman"/>
          </w:rPr>
          <w:t xml:space="preserve">serbischen Regierung </w:t>
        </w:r>
      </w:hyperlink>
      <w:r>
        <w:t>sei eine 48-stündige Frist für die Annah</w:t>
      </w:r>
      <w:r w:rsidR="003B1257">
        <w:t>me oder Ablehnung unserer Forde</w:t>
      </w:r>
      <w:r>
        <w:t xml:space="preserve">rungen gegeben. Diplomatische Auseinandersetzungen seien nach der Sachlage und nach der Konstruktion der österreichisch-ungarischen Note ausgeschlossen. </w:t>
      </w:r>
      <w:hyperlink r:id="rId18" w:history="1">
        <w:r w:rsidR="00F8070A">
          <w:rPr>
            <w:rStyle w:val="Hyperlink"/>
            <w:rFonts w:eastAsia="Times New Roman"/>
            <w:lang w:val="en-US"/>
          </w:rPr>
          <w:t xml:space="preserve">Serbien </w:t>
        </w:r>
      </w:hyperlink>
      <w:r>
        <w:t xml:space="preserve">werde eine bündige Antwort zu geben haben. Erfolgt letztere in der gegebenen Frist überhaupt nicht oder nicht in befriedigender Weise, so erscheine die Angelegenheit </w:t>
      </w:r>
      <w:proofErr w:type="gramStart"/>
      <w:r>
        <w:t>vom diplomatischen Standpunkte</w:t>
      </w:r>
      <w:proofErr w:type="gramEnd"/>
      <w:r>
        <w:t xml:space="preserve"> aus erledigt und ihre weitere Austragung würde auf militärischem Wege statthaben.</w:t>
      </w:r>
      <w:r w:rsidR="003B1257">
        <w:t xml:space="preserve"> </w:t>
      </w:r>
      <w:r>
        <w:t xml:space="preserve">Welchen Lauf die Dinge weiterhin nehmen würden, hänge von den </w:t>
      </w:r>
      <w:r w:rsidR="006A593C">
        <w:t>Entschließungen</w:t>
      </w:r>
      <w:r>
        <w:t xml:space="preserve"> der </w:t>
      </w:r>
      <w:hyperlink r:id="rId19" w:history="1">
        <w:r w:rsidR="00B24E5A" w:rsidRPr="00B24E5A">
          <w:rPr>
            <w:rStyle w:val="Hyperlink"/>
            <w:rFonts w:eastAsia="Times New Roman"/>
          </w:rPr>
          <w:t xml:space="preserve">serbischen Regierung </w:t>
        </w:r>
      </w:hyperlink>
      <w:r>
        <w:t>ab</w:t>
      </w:r>
      <w:r w:rsidR="00E43E6B" w:rsidRPr="00CE7B09">
        <w:rPr>
          <w:rStyle w:val="Funotenzeichen"/>
        </w:rPr>
        <w:footnoteReference w:id="3"/>
      </w:r>
      <w:r>
        <w:t>. Es habe sich aber bereits jetzt die bedingungsweise Notwendigkeit ergeben, für den Fall des Versagens der diplomatischen Mittel militärische Vorbereitungen zu treffen un</w:t>
      </w:r>
      <w:r w:rsidR="003B1257">
        <w:t>d zu diesem Zwecke sei sub conditio</w:t>
      </w:r>
      <w:r>
        <w:t xml:space="preserve">ne ein </w:t>
      </w:r>
      <w:r w:rsidR="003B1257">
        <w:t>Ah.</w:t>
      </w:r>
      <w:r>
        <w:t xml:space="preserve"> Mobilisierungsbefehl erbeten worden</w:t>
      </w:r>
      <w:r w:rsidR="00E43E6B" w:rsidRPr="00CE7B09">
        <w:rPr>
          <w:rStyle w:val="Funotenzeichen"/>
        </w:rPr>
        <w:footnoteReference w:id="4"/>
      </w:r>
      <w:r>
        <w:t>.</w:t>
      </w:r>
      <w:r w:rsidR="00CE7B09">
        <w:t xml:space="preserve"> </w:t>
      </w:r>
      <w:r>
        <w:t>Der Ministerrat nimmt diese Mitteilungen zur Kenntnis.</w:t>
      </w:r>
    </w:p>
    <w:p w:rsidR="00361A23" w:rsidRPr="007C504E" w:rsidRDefault="00361A23" w:rsidP="003466B5">
      <w:pPr>
        <w:pStyle w:val="ProtokollTOPAbsatz1"/>
      </w:pPr>
      <w:r>
        <w:t xml:space="preserve">II. Der Ministerpräsident teilt mit, dass im Zusammenhange mit der bedingungsweisen Erwirkung des </w:t>
      </w:r>
      <w:r w:rsidR="003B1257">
        <w:t>Ah.</w:t>
      </w:r>
      <w:r>
        <w:t xml:space="preserve"> Mobilisierungsbefehles auch </w:t>
      </w:r>
      <w:r w:rsidR="005868E2">
        <w:t>Ah.</w:t>
      </w:r>
      <w:r>
        <w:t xml:space="preserve"> Anordnungen hinsichtlich des </w:t>
      </w:r>
      <w:hyperlink r:id="rId20" w:history="1">
        <w:r w:rsidR="00B24E5A" w:rsidRPr="00B24E5A">
          <w:rPr>
            <w:rStyle w:val="Hyperlink"/>
            <w:rFonts w:eastAsia="Times New Roman"/>
          </w:rPr>
          <w:t xml:space="preserve">Landsturmes </w:t>
        </w:r>
      </w:hyperlink>
      <w:r>
        <w:t xml:space="preserve">in gleich bedingter Weise zu erwirken waren. Der Minister für Landesverteidigung habe daher konditionell die </w:t>
      </w:r>
      <w:r w:rsidR="005868E2">
        <w:t>Ah.</w:t>
      </w:r>
      <w:r>
        <w:t xml:space="preserve"> Genehmigung dafür erbeten, dass der </w:t>
      </w:r>
      <w:hyperlink r:id="rId21" w:history="1">
        <w:r w:rsidR="00B24E5A" w:rsidRPr="00B24E5A">
          <w:rPr>
            <w:rStyle w:val="Hyperlink"/>
            <w:rFonts w:eastAsia="Times New Roman"/>
          </w:rPr>
          <w:t xml:space="preserve">Landsturm </w:t>
        </w:r>
      </w:hyperlink>
      <w:r>
        <w:t xml:space="preserve">in den </w:t>
      </w:r>
      <w:hyperlink r:id="rId22" w:history="1">
        <w:r w:rsidR="005A4D94" w:rsidRPr="005A4D94">
          <w:rPr>
            <w:rStyle w:val="Hyperlink"/>
            <w:rFonts w:eastAsia="Times New Roman"/>
          </w:rPr>
          <w:t xml:space="preserve">im Reichsrate vertretenen Königreichen und Ländern </w:t>
        </w:r>
      </w:hyperlink>
      <w:r>
        <w:t>in jenem Umfange, als es die Interessen der Landesverte</w:t>
      </w:r>
      <w:r w:rsidR="005868E2">
        <w:t>idigung erfordern, und nach Maß</w:t>
      </w:r>
      <w:r>
        <w:t>gabe des unumgänglichen Bedar</w:t>
      </w:r>
      <w:r w:rsidR="003B1257">
        <w:t>fes aufgeboten und die ausnahms</w:t>
      </w:r>
      <w:r>
        <w:t xml:space="preserve">weise Verwendung des Landsturmes </w:t>
      </w:r>
      <w:r w:rsidR="006A593C">
        <w:t>außerhalb</w:t>
      </w:r>
      <w:r>
        <w:t xml:space="preserve"> des Gesamtumfanges der </w:t>
      </w:r>
      <w:hyperlink r:id="rId23" w:history="1">
        <w:r w:rsidR="005A4D94" w:rsidRPr="005A4D94">
          <w:rPr>
            <w:rStyle w:val="Hyperlink"/>
            <w:rFonts w:eastAsia="Times New Roman"/>
          </w:rPr>
          <w:t>im Reichsrate vertretenen Königreiche und Länder</w:t>
        </w:r>
      </w:hyperlink>
      <w:r>
        <w:t xml:space="preserve"> angeordnet werde</w:t>
      </w:r>
      <w:r w:rsidR="00E43E6B" w:rsidRPr="00CE7B09">
        <w:rPr>
          <w:rStyle w:val="Funotenzeichen"/>
        </w:rPr>
        <w:footnoteReference w:id="5"/>
      </w:r>
      <w:r>
        <w:t xml:space="preserve">. Die Voraussetzungen für die bedingungsweise Aufbietung des </w:t>
      </w:r>
      <w:hyperlink r:id="rId24" w:history="1">
        <w:r w:rsidRPr="005A4D94">
          <w:rPr>
            <w:rStyle w:val="Hyperlink"/>
          </w:rPr>
          <w:t>Landsturmes</w:t>
        </w:r>
      </w:hyperlink>
      <w:r>
        <w:t xml:space="preserve"> seien durch den möglichen Fall einer kriegerischen Bedrohung, die Notwendigkeit der eventuellen Verwendung des Landsturmes </w:t>
      </w:r>
      <w:r w:rsidR="00971A9C">
        <w:t>außerhalb</w:t>
      </w:r>
      <w:r>
        <w:t xml:space="preserve"> des </w:t>
      </w:r>
      <w:hyperlink r:id="rId25" w:history="1">
        <w:r w:rsidR="005A4D94" w:rsidRPr="005A4D94">
          <w:rPr>
            <w:rStyle w:val="Hyperlink"/>
            <w:rFonts w:eastAsia="Times New Roman"/>
          </w:rPr>
          <w:t xml:space="preserve">Gebietes der Reichsratsländer </w:t>
        </w:r>
      </w:hyperlink>
      <w:r>
        <w:t xml:space="preserve">durch die </w:t>
      </w:r>
      <w:r w:rsidR="00971A9C">
        <w:t>maßgebenden</w:t>
      </w:r>
      <w:r>
        <w:t xml:space="preserve"> militärischen Verhältnisse gegeben. </w:t>
      </w:r>
      <w:r w:rsidRPr="007C504E">
        <w:t xml:space="preserve">In letzterer Hinsicht bestehe auch Gefahr im Verzuge, so dass die bezüglichen Anordnungen </w:t>
      </w:r>
      <w:r w:rsidR="00684BFB" w:rsidRPr="007C504E">
        <w:t xml:space="preserve">von </w:t>
      </w:r>
      <w:hyperlink r:id="rId26" w:history="1">
        <w:r w:rsidR="005A4D94" w:rsidRPr="005A4D94">
          <w:rPr>
            <w:rStyle w:val="Hyperlink"/>
            <w:rFonts w:eastAsia="Times New Roman"/>
          </w:rPr>
          <w:t>Sr. Majestät</w:t>
        </w:r>
      </w:hyperlink>
      <w:r w:rsidRPr="007C504E">
        <w:t xml:space="preserve"> unter Verantwortung der Regierung gegen nachträgliche Mitteilung an den Reichsrat zur genehmigenden Kenntnisnahme, also ohne die im Paragraph 5 des Landsturmgesetzes</w:t>
      </w:r>
      <w:r w:rsidR="000C1075" w:rsidRPr="00CE7B09">
        <w:rPr>
          <w:rStyle w:val="Funotenzeichen"/>
        </w:rPr>
        <w:footnoteReference w:id="6"/>
      </w:r>
      <w:r w:rsidRPr="007C504E">
        <w:t xml:space="preserve"> vorgesehene spezielle Ermächtigung durch ein Reichsgesetz erfolgen könne. In parenthesi</w:t>
      </w:r>
      <w:r w:rsidR="003B1257" w:rsidRPr="007C504E">
        <w:t xml:space="preserve"> </w:t>
      </w:r>
      <w:r w:rsidR="00684BFB" w:rsidRPr="007C504E">
        <w:t>s</w:t>
      </w:r>
      <w:r w:rsidRPr="007C504E">
        <w:t xml:space="preserve">ei zu bemerken, dass die gekennzeichnete Rechtslage sich nicht auf </w:t>
      </w:r>
      <w:hyperlink r:id="rId27" w:history="1">
        <w:r w:rsidR="005A4D94" w:rsidRPr="005A4D94">
          <w:rPr>
            <w:rStyle w:val="Hyperlink"/>
            <w:rFonts w:eastAsia="Times New Roman"/>
          </w:rPr>
          <w:t xml:space="preserve">Tirol </w:t>
        </w:r>
      </w:hyperlink>
      <w:r w:rsidRPr="007C504E">
        <w:t>beziehe</w:t>
      </w:r>
      <w:r w:rsidR="008D4D86" w:rsidRPr="00CE7B09">
        <w:rPr>
          <w:rStyle w:val="Funotenzeichen"/>
        </w:rPr>
        <w:footnoteReference w:id="7"/>
      </w:r>
      <w:r w:rsidRPr="007C504E">
        <w:t xml:space="preserve">, wo etwas andere gesetzliche Voraussetzungen bestehen. Der Ministerpräsident habe in Anbetracht der besonderen Dringlichkeit und der Unmöglichkeit, den Ministerrat rechtzeitig einzuberufen, vorläufig die Zustimmung zu jenen </w:t>
      </w:r>
      <w:r w:rsidR="005868E2" w:rsidRPr="007C504E">
        <w:t>au.</w:t>
      </w:r>
      <w:r w:rsidRPr="007C504E">
        <w:t xml:space="preserve"> Unterbreitungen des Ministers für Landesverteidigung gegeben und erbitte nachträglich die Genehmigung des Ministerrates.</w:t>
      </w:r>
      <w:r w:rsidR="00CE7B09" w:rsidRPr="007C504E">
        <w:t xml:space="preserve"> </w:t>
      </w:r>
      <w:r w:rsidRPr="007C504E">
        <w:t>Der Ministerrat erteilt diese Zustimmung.</w:t>
      </w:r>
    </w:p>
    <w:p w:rsidR="00361A23" w:rsidRPr="007C504E" w:rsidRDefault="00361A23" w:rsidP="003466B5">
      <w:pPr>
        <w:pStyle w:val="ProtokollTOPAbsatz1"/>
      </w:pPr>
      <w:r w:rsidRPr="007C504E">
        <w:t xml:space="preserve">III. Der Ministerpräsident hebt hervor, dass der </w:t>
      </w:r>
      <w:hyperlink r:id="rId28" w:history="1">
        <w:r w:rsidR="005A4D94" w:rsidRPr="005A4D94">
          <w:rPr>
            <w:rStyle w:val="Hyperlink"/>
            <w:rFonts w:eastAsia="Times New Roman"/>
          </w:rPr>
          <w:t xml:space="preserve">Reichsrat </w:t>
        </w:r>
      </w:hyperlink>
      <w:r w:rsidRPr="007C504E">
        <w:t>dermalen nur vertagt sei, so dass die Immunität der Abgeordneten fortbestehe</w:t>
      </w:r>
      <w:r w:rsidR="00E43E6B" w:rsidRPr="00CE7B09">
        <w:rPr>
          <w:rStyle w:val="Funotenzeichen"/>
        </w:rPr>
        <w:footnoteReference w:id="8"/>
      </w:r>
      <w:r w:rsidRPr="007C504E">
        <w:t>. Für den Fall einer Mobilisierung, wo es</w:t>
      </w:r>
      <w:r w:rsidR="003B1257" w:rsidRPr="007C504E">
        <w:t xml:space="preserve"> </w:t>
      </w:r>
      <w:r w:rsidRPr="007C504E">
        <w:t xml:space="preserve">Aufgabe der Strafrechtspflege sein würde, allen Erschwerungen der militärischen </w:t>
      </w:r>
      <w:r w:rsidR="006A593C" w:rsidRPr="007C504E">
        <w:t>Maßnahmen</w:t>
      </w:r>
      <w:r w:rsidRPr="007C504E">
        <w:t xml:space="preserve"> durch strenge Handhabung des Gesetzes entgegenzutreten, könnte die privilegierte Stellung der Reichsratsmitglieder unter Umständen eine schwere Behemmung bedeuten, weshalb d</w:t>
      </w:r>
      <w:r w:rsidR="005868E2" w:rsidRPr="007C504E">
        <w:t>ieses Privilegium durch Schließ</w:t>
      </w:r>
      <w:r w:rsidRPr="007C504E">
        <w:t xml:space="preserve">ung der Session </w:t>
      </w:r>
      <w:r w:rsidR="0013486A" w:rsidRPr="007C504E">
        <w:t>außer</w:t>
      </w:r>
      <w:r w:rsidRPr="007C504E">
        <w:t xml:space="preserve"> Kraft zu setzen wäre. Der sprechende Minister erbitte daher die Zustimmung des Ministerrates, an </w:t>
      </w:r>
      <w:r w:rsidR="005868E2" w:rsidRPr="007C504E">
        <w:t>Ah.</w:t>
      </w:r>
      <w:r w:rsidRPr="007C504E">
        <w:t xml:space="preserve"> Stelle die in letzterer Richtung erforderliche </w:t>
      </w:r>
      <w:r w:rsidR="005868E2" w:rsidRPr="007C504E">
        <w:t>Ah.</w:t>
      </w:r>
      <w:r w:rsidRPr="007C504E">
        <w:t xml:space="preserve"> Ermächtigung</w:t>
      </w:r>
      <w:r w:rsidR="003A3E6B" w:rsidRPr="007C504E">
        <w:t xml:space="preserve"> bedingungsweise</w:t>
      </w:r>
      <w:r w:rsidRPr="007C504E">
        <w:t xml:space="preserve"> zu erbitten.</w:t>
      </w:r>
    </w:p>
    <w:p w:rsidR="00361A23" w:rsidRPr="007C504E" w:rsidRDefault="00361A23" w:rsidP="007C504E">
      <w:pPr>
        <w:pStyle w:val="ProtokollTOPFortgesetzt"/>
      </w:pPr>
      <w:r w:rsidRPr="007C504E">
        <w:t xml:space="preserve">Der </w:t>
      </w:r>
      <w:r w:rsidRPr="007C504E">
        <w:rPr>
          <w:rStyle w:val="SprechendePerson"/>
        </w:rPr>
        <w:t>Minister des Innern</w:t>
      </w:r>
      <w:r w:rsidRPr="007C504E">
        <w:t xml:space="preserve"> bemerkt, dass in diesem Zusammenhange auch </w:t>
      </w:r>
      <w:proofErr w:type="gramStart"/>
      <w:r w:rsidRPr="007C504E">
        <w:t>vom Standpunkte</w:t>
      </w:r>
      <w:proofErr w:type="gramEnd"/>
      <w:r w:rsidRPr="007C504E">
        <w:t xml:space="preserve"> seines Ressorts bestimmte </w:t>
      </w:r>
      <w:r w:rsidR="005868E2" w:rsidRPr="007C504E">
        <w:t>au.</w:t>
      </w:r>
      <w:r w:rsidRPr="007C504E">
        <w:t xml:space="preserve"> Unterbreitungen zu machen sein werden. Einerseits handle es sich in dieser Beziehung um den</w:t>
      </w:r>
      <w:r w:rsidR="003B1257" w:rsidRPr="007C504E">
        <w:t xml:space="preserve"> </w:t>
      </w:r>
      <w:hyperlink r:id="rId29" w:history="1">
        <w:r w:rsidR="005A4D94" w:rsidRPr="005A4D94">
          <w:rPr>
            <w:rStyle w:val="Hyperlink"/>
            <w:rFonts w:eastAsia="Times New Roman"/>
          </w:rPr>
          <w:t>Permanenzausschuss des Abgeordnetenhauses für Sozialversicherung</w:t>
        </w:r>
      </w:hyperlink>
      <w:r w:rsidR="002720E6" w:rsidRPr="00CE7B09">
        <w:rPr>
          <w:rStyle w:val="Funotenzeichen"/>
        </w:rPr>
        <w:footnoteReference w:id="9"/>
      </w:r>
      <w:r w:rsidRPr="007C504E">
        <w:t xml:space="preserve">. Obwohl die Rechtslage keineswegs geklärt sei, müsse mit der Möglichkeit gerechnet werden, dass die Gerichte den Mitgliedern dieses Ausschusses trotz der Schließung der Session, die Immunität zuerkennen würden. Es sei daher notwendig zum mindesten die </w:t>
      </w:r>
      <w:r w:rsidR="005868E2" w:rsidRPr="007C504E">
        <w:t>Ah.</w:t>
      </w:r>
      <w:r w:rsidRPr="007C504E">
        <w:t xml:space="preserve"> Ein</w:t>
      </w:r>
      <w:r w:rsidR="003A3E6B" w:rsidRPr="007C504E">
        <w:t>stellung der Sitzungen dieses</w:t>
      </w:r>
      <w:r w:rsidRPr="007C504E">
        <w:t xml:space="preserve"> Ausschusses zu erbitten, wodurch nach Ansicht des sprechenden Ministers der Fortbestand der Immunität jedenfalls in unzweifelhafter Weise beseitigt, zugleich aber das Hinfälligwerden der bisher geleisteten Ausschussarbeit, welches mit weitergehenden M</w:t>
      </w:r>
      <w:r w:rsidR="005868E2" w:rsidRPr="007C504E">
        <w:t>aß</w:t>
      </w:r>
      <w:r w:rsidRPr="007C504E">
        <w:t xml:space="preserve">nahmen gegen den Ausschuss verbunden wäre, vermieden werden könnte. Andererseits handle es sich darum, jene acht </w:t>
      </w:r>
      <w:r w:rsidRPr="00463526">
        <w:rPr>
          <w:rStyle w:val="AuszeichnungberMehrereWorte"/>
        </w:rPr>
        <w:t>Landtage</w:t>
      </w:r>
      <w:r w:rsidR="005A4D94">
        <w:t xml:space="preserve"> </w:t>
      </w:r>
      <w:r w:rsidR="00463526">
        <w:t>[[</w:t>
      </w:r>
      <w:hyperlink r:id="rId30" w:history="1">
        <w:r w:rsidR="00463526" w:rsidRPr="00463526">
          <w:rPr>
            <w:rStyle w:val="Hyperlink"/>
            <w:rFonts w:eastAsia="Times New Roman"/>
          </w:rPr>
          <w:t xml:space="preserve">LT Dalmatien </w:t>
        </w:r>
      </w:hyperlink>
      <w:hyperlink r:id="rId31" w:history="1">
        <w:r w:rsidR="00463526" w:rsidRPr="00463526">
          <w:rPr>
            <w:rStyle w:val="Hyperlink"/>
            <w:rFonts w:eastAsia="Times New Roman"/>
          </w:rPr>
          <w:t xml:space="preserve">LT Krain </w:t>
        </w:r>
      </w:hyperlink>
      <w:hyperlink r:id="rId32" w:history="1">
        <w:r w:rsidR="00463526" w:rsidRPr="00463526">
          <w:rPr>
            <w:rStyle w:val="Hyperlink"/>
            <w:rFonts w:eastAsia="Times New Roman"/>
          </w:rPr>
          <w:t xml:space="preserve">LT Görz </w:t>
        </w:r>
      </w:hyperlink>
      <w:hyperlink r:id="rId33" w:history="1">
        <w:r w:rsidR="00463526" w:rsidRPr="00463526">
          <w:rPr>
            <w:rStyle w:val="Hyperlink"/>
            <w:rFonts w:eastAsia="Times New Roman"/>
          </w:rPr>
          <w:t xml:space="preserve">LT Mähren </w:t>
        </w:r>
      </w:hyperlink>
      <w:hyperlink r:id="rId34" w:history="1">
        <w:r w:rsidR="00463526" w:rsidRPr="00463526">
          <w:rPr>
            <w:rStyle w:val="Hyperlink"/>
            <w:rFonts w:eastAsia="Times New Roman"/>
          </w:rPr>
          <w:t xml:space="preserve">LT Oberösterreich </w:t>
        </w:r>
      </w:hyperlink>
      <w:hyperlink r:id="rId35" w:history="1">
        <w:r w:rsidR="00463526" w:rsidRPr="00463526">
          <w:rPr>
            <w:rStyle w:val="Hyperlink"/>
            <w:rFonts w:eastAsia="Times New Roman"/>
          </w:rPr>
          <w:t>LT Niederösterreich</w:t>
        </w:r>
      </w:hyperlink>
      <w:r w:rsidR="00463526" w:rsidRPr="007C504E">
        <w:t xml:space="preserve"> </w:t>
      </w:r>
      <w:hyperlink r:id="rId36" w:history="1">
        <w:r w:rsidR="00463526" w:rsidRPr="00463526">
          <w:rPr>
            <w:rStyle w:val="Hyperlink"/>
            <w:rFonts w:eastAsia="Times New Roman"/>
          </w:rPr>
          <w:t xml:space="preserve">LT Schlesien </w:t>
        </w:r>
      </w:hyperlink>
      <w:hyperlink r:id="rId37" w:history="1">
        <w:r w:rsidR="00463526" w:rsidRPr="00463526">
          <w:rPr>
            <w:rStyle w:val="Hyperlink"/>
            <w:rFonts w:eastAsia="Times New Roman"/>
          </w:rPr>
          <w:t>LT Steiermark</w:t>
        </w:r>
      </w:hyperlink>
      <w:r w:rsidR="00463526">
        <w:t>]]</w:t>
      </w:r>
      <w:r w:rsidRPr="007C504E">
        <w:t xml:space="preserve"> (von Dalmatien, Krain, Görz, Mähren, Oberöste</w:t>
      </w:r>
      <w:r w:rsidR="003B1257" w:rsidRPr="007C504E">
        <w:t>rreich, Niederösterreich, Schle</w:t>
      </w:r>
      <w:r w:rsidRPr="007C504E">
        <w:t>sien und Steiermark), welche dermalen nur vertagt seien, zu schließen und die aus einzelnen Landtagen auf Grund besonderer Landesgesetze hervorgegangenen Permanenzausschüsse zu vertagen, damit für die Mitglieder der betreffenden Landtage beziehungsweise Ausschüsse die Immunität verlösche. Der sprechende Minister erbitte daher die Zustimmung des Ministerrates</w:t>
      </w:r>
      <w:r w:rsidR="00E82273" w:rsidRPr="007C504E">
        <w:t>,</w:t>
      </w:r>
      <w:r w:rsidRPr="007C504E">
        <w:t xml:space="preserve"> die erforderliche </w:t>
      </w:r>
      <w:r w:rsidR="005868E2" w:rsidRPr="007C504E">
        <w:t>Ah.</w:t>
      </w:r>
      <w:r w:rsidRPr="007C504E">
        <w:t xml:space="preserve"> Ermächtigung zu erwirken.</w:t>
      </w:r>
      <w:r w:rsidR="00CE7B09" w:rsidRPr="007C504E">
        <w:t xml:space="preserve"> </w:t>
      </w:r>
      <w:r w:rsidRPr="007C504E">
        <w:t>Der Ministerrat erteilt dem Ministerpräsidenten und dem Minister des Innern die erbetene Zustimmung</w:t>
      </w:r>
      <w:r w:rsidR="002720E6" w:rsidRPr="00CE7B09">
        <w:rPr>
          <w:rStyle w:val="Funotenzeichen"/>
        </w:rPr>
        <w:footnoteReference w:id="10"/>
      </w:r>
      <w:r w:rsidRPr="007C504E">
        <w:t>.</w:t>
      </w:r>
    </w:p>
    <w:p w:rsidR="002027B0" w:rsidRPr="007C504E" w:rsidRDefault="00361A23" w:rsidP="003466B5">
      <w:pPr>
        <w:pStyle w:val="ProtokollTOPAbsatz1"/>
      </w:pPr>
      <w:r w:rsidRPr="007C504E">
        <w:t xml:space="preserve">IV. Der </w:t>
      </w:r>
      <w:r w:rsidRPr="007C504E">
        <w:rPr>
          <w:rStyle w:val="SprechendePerson"/>
        </w:rPr>
        <w:t>Ministerpräsident</w:t>
      </w:r>
      <w:r w:rsidRPr="007C504E">
        <w:t xml:space="preserve"> führt weiter aus, dass im Falle der Mobilisierung eine Reihe </w:t>
      </w:r>
      <w:r w:rsidR="005868E2" w:rsidRPr="007C504E">
        <w:t xml:space="preserve">von damit zusammenhängenden </w:t>
      </w:r>
      <w:r w:rsidR="0013486A" w:rsidRPr="007C504E">
        <w:t>Maßnahmen</w:t>
      </w:r>
      <w:r w:rsidRPr="007C504E">
        <w:t xml:space="preserve"> für </w:t>
      </w:r>
      <w:hyperlink r:id="rId38" w:history="1">
        <w:r w:rsidR="00463526" w:rsidRPr="00463526">
          <w:rPr>
            <w:rStyle w:val="Hyperlink"/>
            <w:rFonts w:eastAsia="Times New Roman"/>
          </w:rPr>
          <w:t>die im Reichsrate vertretenen Königreiche und Länder</w:t>
        </w:r>
      </w:hyperlink>
      <w:r w:rsidRPr="007C504E">
        <w:t xml:space="preserve"> teils auf gesetzlichem, teils auf administrativem Wege zu treffen seien. In ersterer Richtung komme von jeher hiefür der Weg des Paragraphen 14 in Betracht</w:t>
      </w:r>
      <w:r w:rsidR="002720E6" w:rsidRPr="00CE7B09">
        <w:rPr>
          <w:rStyle w:val="Funotenzeichen"/>
        </w:rPr>
        <w:footnoteReference w:id="11"/>
      </w:r>
      <w:r w:rsidRPr="007C504E">
        <w:t>. Er erteile nunmehr dem Minister des Innern, dessen Ressort in</w:t>
      </w:r>
      <w:r w:rsidR="003A3E6B" w:rsidRPr="007C504E">
        <w:t xml:space="preserve"> den einschlägigen Belangen die</w:t>
      </w:r>
      <w:r w:rsidRPr="007C504E">
        <w:t xml:space="preserve"> führende Rolle einnehme, das Wort.</w:t>
      </w:r>
      <w:r w:rsidR="005868E2" w:rsidRPr="007C504E">
        <w:t xml:space="preserve"> </w:t>
      </w:r>
    </w:p>
    <w:p w:rsidR="002720E6" w:rsidRPr="007C504E" w:rsidRDefault="00361A23" w:rsidP="007C504E">
      <w:pPr>
        <w:pStyle w:val="ProtokollTOPFortgesetzt"/>
        <w:sectPr w:rsidR="002720E6" w:rsidRPr="007C504E" w:rsidSect="00F73F7D">
          <w:headerReference w:type="default" r:id="rId39"/>
          <w:footerReference w:type="default" r:id="rId40"/>
          <w:endnotePr>
            <w:numFmt w:val="lowerLetter"/>
          </w:endnotePr>
          <w:type w:val="continuous"/>
          <w:pgSz w:w="11906" w:h="16838"/>
          <w:pgMar w:top="1417" w:right="1417" w:bottom="1134" w:left="1417" w:header="708" w:footer="708" w:gutter="0"/>
          <w:cols w:space="708"/>
          <w:titlePg/>
          <w:docGrid w:linePitch="360"/>
        </w:sectPr>
      </w:pPr>
      <w:r w:rsidRPr="007C504E">
        <w:t xml:space="preserve">Der </w:t>
      </w:r>
      <w:r w:rsidRPr="007C504E">
        <w:rPr>
          <w:rStyle w:val="SprechendePerson"/>
        </w:rPr>
        <w:t>Minister des Innern</w:t>
      </w:r>
      <w:r w:rsidRPr="007C504E">
        <w:t xml:space="preserve"> legt dar, e</w:t>
      </w:r>
      <w:r w:rsidR="005868E2" w:rsidRPr="007C504E">
        <w:t>s</w:t>
      </w:r>
      <w:r w:rsidRPr="007C504E">
        <w:t xml:space="preserve"> handle sich in dieser Beziehung um 17 Verfügungen; diese letzteren seien zum größten Teil bereits in dem geheimen O</w:t>
      </w:r>
      <w:r w:rsidR="003A3E6B" w:rsidRPr="007C504E">
        <w:t>rientierungsbehelf über Ausnahms</w:t>
      </w:r>
      <w:r w:rsidRPr="007C504E">
        <w:t>verfügungen für den Kriegsfall vorgesehen.</w:t>
      </w:r>
      <w:r w:rsidR="00625ECB" w:rsidRPr="00CE7B09">
        <w:rPr>
          <w:rStyle w:val="Funotenzeichen"/>
        </w:rPr>
        <w:footnoteReference w:id="12"/>
      </w:r>
      <w:r w:rsidRPr="007C504E">
        <w:t xml:space="preserve"> Alle bezügli</w:t>
      </w:r>
      <w:r w:rsidR="003B1257" w:rsidRPr="007C504E">
        <w:t>chen Entwürfe seien in den letz</w:t>
      </w:r>
      <w:r w:rsidRPr="007C504E">
        <w:t>ten Tagen von den beteiligten Ministerien nochmals revidiert und de</w:t>
      </w:r>
      <w:r w:rsidR="005868E2" w:rsidRPr="007C504E">
        <w:t>n aktuellen Bedürfnissen angepass</w:t>
      </w:r>
      <w:r w:rsidRPr="007C504E">
        <w:t xml:space="preserve">t worden. Zum Teil seien es neue Verfügungen, welche sich durch die veränderte Sach- und Rechtslage dermalen als notwendig herausstellen, aber in dem gegenwärtig geltenden Orientierungsbehelfe noch nicht vorgesehen seien. Hierbei kommen in Betracht: Kaiserliche Verordnungen auf Grund des </w:t>
      </w:r>
      <w:r w:rsidR="005868E2" w:rsidRPr="007C504E">
        <w:t>§</w:t>
      </w:r>
      <w:r w:rsidRPr="007C504E">
        <w:t xml:space="preserve"> 14, Verordnungen des Gesamtministerium</w:t>
      </w:r>
      <w:r w:rsidR="003A3E6B" w:rsidRPr="007C504E">
        <w:t>s</w:t>
      </w:r>
      <w:r w:rsidR="005868E2" w:rsidRPr="007C504E">
        <w:t>,</w:t>
      </w:r>
      <w:r w:rsidRPr="007C504E">
        <w:t xml:space="preserve"> die auf Grund spezieller </w:t>
      </w:r>
      <w:r w:rsidR="005868E2" w:rsidRPr="007C504E">
        <w:t>Ah.</w:t>
      </w:r>
      <w:r w:rsidRPr="007C504E">
        <w:t xml:space="preserve"> Ermächtigung zu erlassen sind, Verordnungen des Gesamtministeriums, für welche eine spezielle </w:t>
      </w:r>
      <w:r w:rsidR="005868E2" w:rsidRPr="007C504E">
        <w:t>Ah.</w:t>
      </w:r>
      <w:r w:rsidR="003B1257" w:rsidRPr="007C504E">
        <w:t xml:space="preserve"> Er</w:t>
      </w:r>
      <w:r w:rsidRPr="007C504E">
        <w:t>mächtigung nicht erforderlich ist und endlich sonstige Ministerialvero</w:t>
      </w:r>
      <w:r w:rsidR="0013486A" w:rsidRPr="007C504E">
        <w:t>r</w:t>
      </w:r>
      <w:r w:rsidRPr="007C504E">
        <w:t>dnungen.</w:t>
      </w:r>
      <w:r w:rsidR="005868E2" w:rsidRPr="007C504E">
        <w:t xml:space="preserve"> </w:t>
      </w:r>
      <w:r w:rsidRPr="007C504E">
        <w:t xml:space="preserve">Im </w:t>
      </w:r>
      <w:r w:rsidR="0013486A" w:rsidRPr="007C504E">
        <w:t>Einzelnen</w:t>
      </w:r>
      <w:r w:rsidRPr="007C504E">
        <w:t xml:space="preserve"> seien diese Verfügungen, deren Text dem Protokolle anverwahrt erscheint, folgende</w:t>
      </w:r>
      <w:r w:rsidR="00D33DE0" w:rsidRPr="00CE7B09">
        <w:rPr>
          <w:rStyle w:val="Funotenzeichen"/>
        </w:rPr>
        <w:footnoteReference w:id="13"/>
      </w:r>
      <w:r w:rsidRPr="007C504E">
        <w:t>:</w:t>
      </w:r>
      <w:r w:rsidR="002720E6">
        <w:rPr>
          <w:rStyle w:val="Endnotenzeichen"/>
        </w:rPr>
        <w:endnoteReference w:id="1"/>
      </w:r>
    </w:p>
    <w:p w:rsidR="00361A23" w:rsidRPr="007C504E" w:rsidRDefault="00361A23" w:rsidP="003466B5">
      <w:pPr>
        <w:pStyle w:val="ProtokollTOPAufzhlung"/>
      </w:pPr>
      <w:r w:rsidRPr="007C504E">
        <w:t xml:space="preserve">Kaiserliche Verordnung auf Grund des </w:t>
      </w:r>
      <w:r w:rsidR="003A3E6B" w:rsidRPr="007C504E">
        <w:t>§</w:t>
      </w:r>
      <w:r w:rsidRPr="007C504E">
        <w:t xml:space="preserve"> 14 des Grundgesetzes über die Reichsvertretung, betreffend Übertragung von Befugnissen der politischen Verwaltung an den </w:t>
      </w:r>
      <w:hyperlink r:id="rId41" w:history="1">
        <w:r w:rsidR="00463526" w:rsidRPr="00463526">
          <w:rPr>
            <w:rStyle w:val="Hyperlink"/>
            <w:rFonts w:eastAsia="Times New Roman"/>
          </w:rPr>
          <w:t xml:space="preserve">Höchstkommandierenden der Streitkräfte in </w:t>
        </w:r>
      </w:hyperlink>
      <w:hyperlink r:id="rId42" w:history="1">
        <w:r w:rsidR="005868E2" w:rsidRPr="00F8070A">
          <w:rPr>
            <w:rStyle w:val="Hyperlink"/>
          </w:rPr>
          <w:t xml:space="preserve">Bosnien, </w:t>
        </w:r>
        <w:r w:rsidR="005868E2" w:rsidRPr="00F8070A">
          <w:rPr>
            <w:rStyle w:val="Hyperlink"/>
            <w:highlight w:val="green"/>
          </w:rPr>
          <w:t>Hercegov</w:t>
        </w:r>
        <w:r w:rsidRPr="00F8070A">
          <w:rPr>
            <w:rStyle w:val="Hyperlink"/>
            <w:highlight w:val="green"/>
          </w:rPr>
          <w:t>ina</w:t>
        </w:r>
      </w:hyperlink>
      <w:r w:rsidRPr="007C504E">
        <w:t xml:space="preserve"> und Dalmatien (Beilage 1b des Orientierungsbehelfes).</w:t>
      </w:r>
    </w:p>
    <w:p w:rsidR="00361A23" w:rsidRPr="007C504E" w:rsidRDefault="00361A23" w:rsidP="003466B5">
      <w:pPr>
        <w:pStyle w:val="ProtokollTOPAufzhlung"/>
      </w:pPr>
      <w:r w:rsidRPr="007C504E">
        <w:t xml:space="preserve">Verordnung des Gesamtministeriums auf Grund </w:t>
      </w:r>
      <w:r w:rsidR="003B1257" w:rsidRPr="007C504E">
        <w:t xml:space="preserve">Ah. </w:t>
      </w:r>
      <w:r w:rsidRPr="007C504E">
        <w:t>Genehmigung und Beschlusses des Gesamtministeriums, betreffend Suspension staatsgrundgesetzlicher Bestimmungen und zwar der persönlichen Freiheit, des Hausrecht</w:t>
      </w:r>
      <w:r w:rsidR="003A3E6B" w:rsidRPr="007C504E">
        <w:t>e</w:t>
      </w:r>
      <w:r w:rsidRPr="007C504E">
        <w:t>s, des Vereins- uns Versammlungsrechtes, des Briefgeheimnisses und</w:t>
      </w:r>
      <w:r w:rsidR="005868E2" w:rsidRPr="007C504E">
        <w:t xml:space="preserve"> der Press</w:t>
      </w:r>
      <w:r w:rsidRPr="007C504E">
        <w:t>freiheit in allen im Reichsrate vertret</w:t>
      </w:r>
      <w:r w:rsidR="00A20AE4" w:rsidRPr="007C504E">
        <w:t>enen Königreichen und Ländern (</w:t>
      </w:r>
      <w:r w:rsidRPr="007C504E">
        <w:t>Beilage 1c des Orientierungsbehelfes).</w:t>
      </w:r>
    </w:p>
    <w:p w:rsidR="00361A23" w:rsidRPr="007C504E" w:rsidRDefault="00361A23" w:rsidP="003466B5">
      <w:pPr>
        <w:pStyle w:val="ProtokollTOPAufzhlung"/>
      </w:pPr>
      <w:r w:rsidRPr="007C504E">
        <w:t>Verordnung des Gesamtministeriums auf Grund der Suspension staatsgrundgesetzlicher Bestimmungen, betreffend beschränkende polizeiliche An</w:t>
      </w:r>
      <w:r w:rsidR="005868E2" w:rsidRPr="007C504E">
        <w:t>ordnungen über das Pass</w:t>
      </w:r>
      <w:r w:rsidR="00D33DE0" w:rsidRPr="007C504E">
        <w:t>wesen (Beilage 1</w:t>
      </w:r>
      <w:r w:rsidRPr="007C504E">
        <w:t>d des Orientierungsbehelfes).</w:t>
      </w:r>
    </w:p>
    <w:p w:rsidR="00361A23" w:rsidRPr="007C504E" w:rsidRDefault="00361A23" w:rsidP="003466B5">
      <w:pPr>
        <w:pStyle w:val="ProtokollTOPAufzhlung"/>
      </w:pPr>
      <w:r w:rsidRPr="007C504E">
        <w:t>Verordnung des Ministers für Landesverteidigung und des Innern auf Grund des § 17, Absatz 4, Punkt 2 des Wehrgesetzes, betreffend Verhütung von Wehrpflichtverletzungen durch Grenzüberschreitung (neu).</w:t>
      </w:r>
    </w:p>
    <w:p w:rsidR="00361A23" w:rsidRPr="007C504E" w:rsidRDefault="00361A23" w:rsidP="003466B5">
      <w:pPr>
        <w:pStyle w:val="ProtokollTOPAufzhlung"/>
      </w:pPr>
      <w:r w:rsidRPr="007C504E">
        <w:t>Verordnung des Gesamtministeriums auf Grund der Suspension staatsgrundgesetzlicher Bestimmungen, betreffend beschränkende polizeiliche Anordnungen in Bezug auf den Besitz von Waffen, Munitionsgegenständen und Sprengstoffen und den V</w:t>
      </w:r>
      <w:r w:rsidR="00D33DE0" w:rsidRPr="007C504E">
        <w:t>erkehr mit denselben (Beilage 1</w:t>
      </w:r>
      <w:r w:rsidRPr="007C504E">
        <w:t>f des Orientierungsbehelfes).</w:t>
      </w:r>
    </w:p>
    <w:p w:rsidR="00361A23" w:rsidRPr="007C504E" w:rsidRDefault="00361A23" w:rsidP="003466B5">
      <w:pPr>
        <w:pStyle w:val="ProtokollTOPAufzhlung"/>
      </w:pPr>
      <w:r w:rsidRPr="007C504E">
        <w:t>Kaiserliche Verordnung</w:t>
      </w:r>
      <w:r w:rsidR="003B1257" w:rsidRPr="007C504E">
        <w:t xml:space="preserve"> auf Grund des § 14 des Grundge</w:t>
      </w:r>
      <w:r w:rsidRPr="007C504E">
        <w:t>setzes über die Reichsvertretung, betreffend Mitwirkung der Gemeinden und öffentlichen Beamten an den Aufgaben der Landesverteidigung und die Bestrafung der Verletzung einer Amtspflicht (Beilage 1h des Orientierungsbehelfes).</w:t>
      </w:r>
    </w:p>
    <w:p w:rsidR="00361A23" w:rsidRPr="007C504E" w:rsidRDefault="00361A23" w:rsidP="003466B5">
      <w:pPr>
        <w:pStyle w:val="ProtokollTOPAufzhlung"/>
      </w:pPr>
      <w:r w:rsidRPr="007C504E">
        <w:t>Kaiserliche Verordnung auf Grund des § 14 des Staatsgrundgesetzes über die Reichsvertretung, betreffend Bestrafung der Störung des öffentlichen Dienstes oder eines öffentlichen Betriebes und der Verletzung einer Lieferungspflicht (neu).</w:t>
      </w:r>
    </w:p>
    <w:p w:rsidR="00361A23" w:rsidRPr="007C504E" w:rsidRDefault="00361A23" w:rsidP="003466B5">
      <w:pPr>
        <w:pStyle w:val="ProtokollTOPAufzhlung"/>
      </w:pPr>
      <w:r w:rsidRPr="007C504E">
        <w:t>Verordnung des Gesamtministeriums auf Grund des § 1 des Gesetzes vom 23. Mai 1873, Nr. 120</w:t>
      </w:r>
      <w:r w:rsidR="003B1257" w:rsidRPr="007C504E">
        <w:t xml:space="preserve"> </w:t>
      </w:r>
      <w:r w:rsidR="00A67057" w:rsidRPr="007C504E">
        <w:t>RG</w:t>
      </w:r>
      <w:r w:rsidRPr="007C504E">
        <w:t>Bl., betreffend Einstellung der Wirksamkeit der Geschwornengerichte (Beilage 1i des Orientierungsbehelfes).</w:t>
      </w:r>
    </w:p>
    <w:p w:rsidR="00361A23" w:rsidRPr="007C504E" w:rsidRDefault="00361A23" w:rsidP="003466B5">
      <w:pPr>
        <w:pStyle w:val="ProtokollTOPAufzhlung"/>
      </w:pPr>
      <w:r w:rsidRPr="007C504E">
        <w:t xml:space="preserve">Verordnung des Gesamtministeriums auf Grund des § 14 des Gesetzes vom 5. Juli 1912, Nr. 131 </w:t>
      </w:r>
      <w:r w:rsidR="00EA0EC8" w:rsidRPr="007C504E">
        <w:t>RGBl.</w:t>
      </w:r>
      <w:r w:rsidRPr="007C504E">
        <w:t>, betreffend Unterstellung von Zivilpersonen, die sich strafbarer Handlungen wider die Kriegsmacht des Staates schuldig machen, unter die Militär</w:t>
      </w:r>
      <w:r w:rsidR="00737759" w:rsidRPr="007C504E">
        <w:t>straf</w:t>
      </w:r>
      <w:r w:rsidRPr="007C504E">
        <w:t>gerichtsbarkeit (Beilage 1k/II des Orientierungsbehelfes).</w:t>
      </w:r>
    </w:p>
    <w:p w:rsidR="00361A23" w:rsidRPr="007C504E" w:rsidRDefault="00361A23" w:rsidP="003466B5">
      <w:pPr>
        <w:pStyle w:val="ProtokollTOPAufzhlung"/>
      </w:pPr>
      <w:r w:rsidRPr="007C504E">
        <w:t>Kaiserliche Verordnung auf Grund des § 14 des Grundgesetzes über die Reichsvertretung, betreffend zeitweilige Unterstellung von Zivilpersonen unter die</w:t>
      </w:r>
      <w:r w:rsidR="003B1257" w:rsidRPr="007C504E">
        <w:t xml:space="preserve"> </w:t>
      </w:r>
      <w:proofErr w:type="gramStart"/>
      <w:r w:rsidRPr="007C504E">
        <w:t>Militä</w:t>
      </w:r>
      <w:r w:rsidR="00D33DE0" w:rsidRPr="007C504E">
        <w:t>rgerichtsbarkeit  (</w:t>
      </w:r>
      <w:proofErr w:type="gramEnd"/>
      <w:r w:rsidR="00D33DE0" w:rsidRPr="007C504E">
        <w:t>Beilage 1</w:t>
      </w:r>
      <w:r w:rsidR="005F0F4F" w:rsidRPr="007C504E">
        <w:t>l</w:t>
      </w:r>
      <w:r w:rsidRPr="007C504E">
        <w:t xml:space="preserve"> des Orientierungsbehelfes).</w:t>
      </w:r>
    </w:p>
    <w:p w:rsidR="00361A23" w:rsidRDefault="00361A23" w:rsidP="003466B5">
      <w:pPr>
        <w:pStyle w:val="ProtokollTOPAufzhlung"/>
      </w:pPr>
      <w:r w:rsidRPr="007C504E">
        <w:t xml:space="preserve">Kaiserliche Verordnung auf Grund des § 14 des Grundgesetzes über die Reichsvertretung, betreffend Unterstellung der auf die Kriegsartikel nicht beeideten, in aktiver Dienstleistung stehenden Militärpersonen unter die Bestimmungen des II. </w:t>
      </w:r>
      <w:r>
        <w:t xml:space="preserve">Teiles des </w:t>
      </w:r>
      <w:r w:rsidR="00BC006A" w:rsidRPr="00BC006A">
        <w:rPr>
          <w:color w:val="000000" w:themeColor="text1"/>
        </w:rPr>
        <w:t>Militärstrafgesetzbuches</w:t>
      </w:r>
      <w:r w:rsidR="00216F78" w:rsidRPr="00CE7B09">
        <w:rPr>
          <w:rStyle w:val="Funotenzeichen"/>
        </w:rPr>
        <w:footnoteReference w:id="14"/>
      </w:r>
      <w:r>
        <w:t xml:space="preserve"> (Beilage 1n des Orientierungsbehelfes).</w:t>
      </w:r>
    </w:p>
    <w:p w:rsidR="00361A23" w:rsidRPr="007C504E" w:rsidRDefault="00361A23" w:rsidP="003466B5">
      <w:pPr>
        <w:pStyle w:val="ProtokollTOPAufzhlung"/>
      </w:pPr>
      <w:r w:rsidRPr="007C504E">
        <w:t xml:space="preserve">Verordnung der Ministerien des Innern und der Justiz auf Grund des Artikels IX des Gesetzes vom 17. Dezember 1862, Nr. 8 </w:t>
      </w:r>
      <w:r w:rsidR="00EA0EC8" w:rsidRPr="007C504E">
        <w:t>RGBl.</w:t>
      </w:r>
      <w:r w:rsidRPr="007C504E">
        <w:t xml:space="preserve"> ex 1863, betreffend ausd</w:t>
      </w:r>
      <w:r w:rsidR="003B1257" w:rsidRPr="007C504E">
        <w:t>rückliches Verbot der Veröffent</w:t>
      </w:r>
      <w:r w:rsidRPr="007C504E">
        <w:t xml:space="preserve">lichung militärischer Nachrichten in </w:t>
      </w:r>
      <w:r w:rsidR="00D33DE0" w:rsidRPr="007C504E">
        <w:t>Druckschriften (Beilage 1</w:t>
      </w:r>
      <w:r w:rsidRPr="007C504E">
        <w:t>o des Orientierungsbehelfes).</w:t>
      </w:r>
    </w:p>
    <w:p w:rsidR="00361A23" w:rsidRPr="007C504E" w:rsidRDefault="00361A23" w:rsidP="003466B5">
      <w:pPr>
        <w:pStyle w:val="ProtokollTOPAufzhlung"/>
      </w:pPr>
      <w:r w:rsidRPr="007C504E">
        <w:t xml:space="preserve">Verordnung der Ministerien des Innern und der Justiz im Einvernehmen mit den Ministerien des Finanzen und des Handels auf Grund der Suspension staatsgrundgesetzlicher Bestimmungen, betreffend Anordnung des Verbotes der in </w:t>
      </w:r>
      <w:hyperlink r:id="rId43" w:history="1">
        <w:r w:rsidR="00F8070A" w:rsidRPr="00F8070A">
          <w:rPr>
            <w:rStyle w:val="Hyperlink"/>
            <w:rFonts w:eastAsia="Times New Roman"/>
          </w:rPr>
          <w:t xml:space="preserve">Serbien </w:t>
        </w:r>
      </w:hyperlink>
      <w:r w:rsidRPr="007C504E">
        <w:t>erscheinenden periodischen Druckschriften und der Revision der von dort einlangenden nicht periodi</w:t>
      </w:r>
      <w:r w:rsidR="00D33DE0" w:rsidRPr="007C504E">
        <w:t>schen Druckschriften (Beilage 1</w:t>
      </w:r>
      <w:r w:rsidRPr="007C504E">
        <w:t>p des Orientierungsbehelfes).</w:t>
      </w:r>
    </w:p>
    <w:p w:rsidR="00361A23" w:rsidRPr="007C504E" w:rsidRDefault="00361A23" w:rsidP="003466B5">
      <w:pPr>
        <w:pStyle w:val="ProtokollTOPAufzhlung"/>
      </w:pPr>
      <w:r w:rsidRPr="007C504E">
        <w:t xml:space="preserve">Verordnung der Ministerien des Handels und des Innern </w:t>
      </w:r>
      <w:r w:rsidR="003B1257" w:rsidRPr="007C504E">
        <w:t xml:space="preserve">auf Grund der Suspension </w:t>
      </w:r>
      <w:proofErr w:type="gramStart"/>
      <w:r w:rsidR="003B1257" w:rsidRPr="007C504E">
        <w:t>staats</w:t>
      </w:r>
      <w:r w:rsidRPr="007C504E">
        <w:t>grundgesetzlicher  Bestimmungen</w:t>
      </w:r>
      <w:proofErr w:type="gramEnd"/>
      <w:r w:rsidRPr="007C504E">
        <w:t>, betreffend Behandlung</w:t>
      </w:r>
      <w:r w:rsidR="00D33DE0" w:rsidRPr="007C504E">
        <w:t xml:space="preserve"> der Postsendungen (Beilage 1</w:t>
      </w:r>
      <w:r w:rsidR="003B1257" w:rsidRPr="007C504E">
        <w:t xml:space="preserve">q </w:t>
      </w:r>
      <w:r w:rsidRPr="007C504E">
        <w:t>des Orientierungsbehelfes).</w:t>
      </w:r>
    </w:p>
    <w:p w:rsidR="00361A23" w:rsidRPr="007C504E" w:rsidRDefault="00361A23" w:rsidP="003466B5">
      <w:pPr>
        <w:pStyle w:val="ProtokollTOPAufzhlung"/>
      </w:pPr>
      <w:r w:rsidRPr="007C504E">
        <w:t xml:space="preserve">Verordnung des Gesamtministeriums auf Grund </w:t>
      </w:r>
      <w:r w:rsidR="005868E2" w:rsidRPr="007C504E">
        <w:t>Ah.</w:t>
      </w:r>
      <w:r w:rsidRPr="007C504E">
        <w:t xml:space="preserve"> Ermächtigung,</w:t>
      </w:r>
      <w:r w:rsidR="0013486A" w:rsidRPr="007C504E">
        <w:t xml:space="preserve"> betreffend Einschränkung und Ü</w:t>
      </w:r>
      <w:r w:rsidRPr="007C504E">
        <w:t>berwachung des Telegraphen- und</w:t>
      </w:r>
      <w:r w:rsidR="00D33DE0" w:rsidRPr="007C504E">
        <w:t xml:space="preserve"> Telefonverkehres (Beilage 1</w:t>
      </w:r>
      <w:r w:rsidRPr="007C504E">
        <w:t>r des Orientierungsbehelfes).</w:t>
      </w:r>
    </w:p>
    <w:p w:rsidR="00361A23" w:rsidRPr="007C504E" w:rsidRDefault="00361A23" w:rsidP="003466B5">
      <w:pPr>
        <w:pStyle w:val="ProtokollTOPAufzhlung"/>
      </w:pPr>
      <w:r w:rsidRPr="007C504E">
        <w:t xml:space="preserve">Verordnung der Ministerien des </w:t>
      </w:r>
      <w:r w:rsidR="00737759" w:rsidRPr="007C504E">
        <w:t>Innern, der Finanzen, des Handel</w:t>
      </w:r>
      <w:r w:rsidRPr="007C504E">
        <w:t>s und des Ackerbaues, betreffend Verbot der Einf</w:t>
      </w:r>
      <w:r w:rsidR="00D33DE0" w:rsidRPr="007C504E">
        <w:t>uhr mehrerer Artikel (Beilage 1</w:t>
      </w:r>
      <w:r w:rsidRPr="007C504E">
        <w:t>u des Orientierungsbehelfes).</w:t>
      </w:r>
      <w:r w:rsidR="00C023B8" w:rsidRPr="00CE7B09">
        <w:rPr>
          <w:rStyle w:val="Funotenzeichen"/>
        </w:rPr>
        <w:footnoteReference w:id="15"/>
      </w:r>
    </w:p>
    <w:p w:rsidR="00361A23" w:rsidRPr="007C504E" w:rsidRDefault="00361A23" w:rsidP="003466B5">
      <w:pPr>
        <w:pStyle w:val="ProtokollTOPAufzhlung"/>
      </w:pPr>
      <w:r w:rsidRPr="007C504E">
        <w:t>Verordnung der Ministerien des Innern, der Finanzen, des Handels und des Ackerbaues, betreffend Verbot der Ausfuhr und Durchf</w:t>
      </w:r>
      <w:r w:rsidR="00D33DE0" w:rsidRPr="007C504E">
        <w:t>uhr mehrerer Artikel (Beilage 1</w:t>
      </w:r>
      <w:r w:rsidRPr="007C504E">
        <w:t>v des Orientierungsbehelfes)</w:t>
      </w:r>
      <w:r w:rsidR="00D33DE0" w:rsidRPr="007C504E">
        <w:rPr>
          <w:rStyle w:val="Funotenzeichen"/>
        </w:rPr>
        <w:t xml:space="preserve"> </w:t>
      </w:r>
      <w:r w:rsidR="00D33DE0" w:rsidRPr="00CE7B09">
        <w:rPr>
          <w:rStyle w:val="Funotenzeichen"/>
        </w:rPr>
        <w:footnoteReference w:id="16"/>
      </w:r>
      <w:r w:rsidRPr="007C504E">
        <w:t>.</w:t>
      </w:r>
    </w:p>
    <w:p w:rsidR="00361A23" w:rsidRPr="007C504E" w:rsidRDefault="00361A23" w:rsidP="007C504E">
      <w:pPr>
        <w:pStyle w:val="ProtokollTOPFortgesetzt"/>
      </w:pPr>
      <w:r w:rsidRPr="007C504E">
        <w:t>Der Minister des Innern bittet sohin, der Ministerrat möge die Zustimmung erteilen, hinsichtlich der zu erwirkenden kaiserlichen Ver</w:t>
      </w:r>
      <w:r w:rsidR="00737759" w:rsidRPr="007C504E">
        <w:t xml:space="preserve">ordnungen die </w:t>
      </w:r>
      <w:r w:rsidR="005868E2" w:rsidRPr="007C504E">
        <w:t>Ah.</w:t>
      </w:r>
      <w:r w:rsidR="00737759" w:rsidRPr="007C504E">
        <w:t xml:space="preserve"> Geneh</w:t>
      </w:r>
      <w:r w:rsidRPr="007C504E">
        <w:t>mhaltung ihrer bedingsweisen</w:t>
      </w:r>
      <w:r w:rsidR="00BC006A" w:rsidRPr="007C504E">
        <w:t xml:space="preserve"> </w:t>
      </w:r>
      <w:r w:rsidRPr="007C504E">
        <w:t xml:space="preserve">Erlassung zu erwirken, hinsichtlich jener Verordnungen des Gesamtministeriums, welche auf Grund spezieller </w:t>
      </w:r>
      <w:r w:rsidR="005868E2" w:rsidRPr="007C504E">
        <w:t>Ah.</w:t>
      </w:r>
      <w:r w:rsidRPr="007C504E">
        <w:t xml:space="preserve"> Ermächtigung zu erfließen hätten, die bedingungsweise </w:t>
      </w:r>
      <w:r w:rsidR="005868E2" w:rsidRPr="007C504E">
        <w:t>Ah.</w:t>
      </w:r>
      <w:r w:rsidRPr="007C504E">
        <w:t xml:space="preserve"> Ermächtigung einzuholen, sowie gegebenenfalls</w:t>
      </w:r>
      <w:r w:rsidR="003B1257" w:rsidRPr="007C504E">
        <w:t xml:space="preserve"> i</w:t>
      </w:r>
      <w:r w:rsidRPr="007C504E">
        <w:t xml:space="preserve">n den beiden angedeuteten Belangen das weiterhin Erforderliche vorzukehren, die sonstigen Gesamtministerialverordnungen gegebenenfalls zu erlassen, im </w:t>
      </w:r>
      <w:r w:rsidR="006A593C" w:rsidRPr="007C504E">
        <w:t>Übrigen</w:t>
      </w:r>
      <w:r w:rsidRPr="007C504E">
        <w:t xml:space="preserve"> aber die bedingungsweise in Aussicht genommenen Maßnahmen zur Kenntnis nehmen.</w:t>
      </w:r>
    </w:p>
    <w:p w:rsidR="00361A23" w:rsidRPr="007C504E" w:rsidRDefault="00361A23" w:rsidP="007C504E">
      <w:pPr>
        <w:pStyle w:val="ProtokollTOPFortgesetzt"/>
      </w:pPr>
      <w:r w:rsidRPr="007C504E">
        <w:t>Der Ministerrat erteilt die erbetene Zustimmung beziehungsweise nimmt die bedingungsweise in Aussicht genommenen Maßnahmen zur Kenntnis</w:t>
      </w:r>
      <w:r w:rsidR="00D33DE0" w:rsidRPr="00CE7B09">
        <w:rPr>
          <w:rStyle w:val="Funotenzeichen"/>
        </w:rPr>
        <w:footnoteReference w:id="17"/>
      </w:r>
      <w:r w:rsidRPr="007C504E">
        <w:t>.</w:t>
      </w:r>
      <w:r w:rsidR="00382583" w:rsidRPr="007C504E">
        <w:rPr>
          <w:rStyle w:val="Funotenzeichen"/>
        </w:rPr>
        <w:t xml:space="preserve"> </w:t>
      </w:r>
    </w:p>
    <w:p w:rsidR="00361A23" w:rsidRPr="007C504E" w:rsidRDefault="00737759" w:rsidP="003466B5">
      <w:pPr>
        <w:pStyle w:val="ProtokollTOPAbsatz1"/>
      </w:pPr>
      <w:r w:rsidRPr="007C504E">
        <w:t>V. Der</w:t>
      </w:r>
      <w:r w:rsidR="00361A23" w:rsidRPr="007C504E">
        <w:t xml:space="preserve"> </w:t>
      </w:r>
      <w:r w:rsidR="00361A23" w:rsidRPr="007C504E">
        <w:rPr>
          <w:rStyle w:val="SprechendePerson"/>
        </w:rPr>
        <w:t>Ministerpräsident</w:t>
      </w:r>
      <w:r w:rsidR="00361A23" w:rsidRPr="007C504E">
        <w:t xml:space="preserve"> erörtert sohin in allgemeinen Zügen di</w:t>
      </w:r>
      <w:r w:rsidR="003B1257" w:rsidRPr="007C504E">
        <w:t>e Notwendigkeit allfälliger wei</w:t>
      </w:r>
      <w:r w:rsidR="00361A23" w:rsidRPr="007C504E">
        <w:t>terer im Orientierungsbehelfe</w:t>
      </w:r>
      <w:r w:rsidR="00BC006A" w:rsidRPr="00CE7B09">
        <w:rPr>
          <w:rStyle w:val="Funotenzeichen"/>
        </w:rPr>
        <w:footnoteReference w:id="18"/>
      </w:r>
      <w:r w:rsidR="00361A23" w:rsidRPr="007C504E">
        <w:t xml:space="preserve"> nicht vorgesehener einschlägiger Maßnahmen, so gewisser administrativer Vorkehrungen auf der Basis des Kriegsleistungsgesetzes</w:t>
      </w:r>
      <w:r w:rsidR="00BC006A" w:rsidRPr="00CE7B09">
        <w:rPr>
          <w:rStyle w:val="Funotenzeichen"/>
        </w:rPr>
        <w:footnoteReference w:id="19"/>
      </w:r>
      <w:r w:rsidR="00361A23" w:rsidRPr="007C504E">
        <w:t xml:space="preserve"> und verschiedener interner adm</w:t>
      </w:r>
      <w:r w:rsidRPr="007C504E">
        <w:t>inistrativer Vorbereitungen. Er</w:t>
      </w:r>
      <w:r w:rsidR="00361A23" w:rsidRPr="007C504E">
        <w:t xml:space="preserve"> richtet in diesem Zusammenhang an die Vertreter der einzelnen Ressorts das Ersuchen, alle Vorbereitungen so zu treff</w:t>
      </w:r>
      <w:r w:rsidR="0013486A" w:rsidRPr="007C504E">
        <w:t>en, dass</w:t>
      </w:r>
      <w:r w:rsidR="00361A23" w:rsidRPr="007C504E">
        <w:t xml:space="preserve"> im Bedarfsfalle diese Verfügungen auf ein kurzes Aviso hin in Kraft treten können, und behält sich vor, für den Fall als aus formalen oder meritorischen Gründen eine Befassung des Ministerrates in der Folge notwendig sein sollte, die Konferenz nach</w:t>
      </w:r>
      <w:r w:rsidR="003B1257" w:rsidRPr="007C504E">
        <w:t xml:space="preserve"> Bedarf einzuberu</w:t>
      </w:r>
      <w:r w:rsidR="00361A23" w:rsidRPr="007C504E">
        <w:t xml:space="preserve">fen. Er nehme in diesem Sinne auch Akt von der </w:t>
      </w:r>
      <w:r w:rsidRPr="007C504E">
        <w:t xml:space="preserve">ihm </w:t>
      </w:r>
      <w:r w:rsidR="00361A23" w:rsidRPr="007C504E">
        <w:t>bereits bekannten Intention sämtlicher Mitglieder des Kabinetts</w:t>
      </w:r>
      <w:r w:rsidR="00F212E0" w:rsidRPr="007C504E">
        <w:t>,</w:t>
      </w:r>
      <w:r w:rsidR="00361A23" w:rsidRPr="007C504E">
        <w:t xml:space="preserve"> bis auf weiteres </w:t>
      </w:r>
      <w:hyperlink r:id="rId44" w:history="1">
        <w:r w:rsidR="00681F19" w:rsidRPr="00681F19">
          <w:rPr>
            <w:rStyle w:val="Hyperlink"/>
            <w:rFonts w:eastAsia="Times New Roman"/>
          </w:rPr>
          <w:t xml:space="preserve">Wien </w:t>
        </w:r>
      </w:hyperlink>
      <w:r w:rsidR="00361A23" w:rsidRPr="007C504E">
        <w:t>nicht zu verlassen, was übrigens durch die Sachlage dermalen geboten erscheine.</w:t>
      </w:r>
    </w:p>
    <w:p w:rsidR="00361A23" w:rsidRPr="007C504E" w:rsidRDefault="00361A23" w:rsidP="007C504E">
      <w:pPr>
        <w:pStyle w:val="ProtokollTOPFortgesetzt"/>
      </w:pPr>
      <w:r w:rsidRPr="007C504E">
        <w:t>Der Ministerrat nimmt diese Mitteilung</w:t>
      </w:r>
      <w:r w:rsidR="00D33DE0" w:rsidRPr="007C504E">
        <w:t>en</w:t>
      </w:r>
      <w:r w:rsidRPr="007C504E">
        <w:t xml:space="preserve"> zur Kenntnis.</w:t>
      </w:r>
    </w:p>
    <w:p w:rsidR="00361A23" w:rsidRPr="007C504E" w:rsidRDefault="00361A23" w:rsidP="007C504E">
      <w:pPr>
        <w:pStyle w:val="ProtokollDatumUnterschrift"/>
      </w:pPr>
      <w:r w:rsidRPr="007C504E">
        <w:t>Wien, am 23. Juli 1914.</w:t>
      </w:r>
      <w:r w:rsidR="00D33DE0" w:rsidRPr="007C504E">
        <w:t xml:space="preserve"> Stürgkh.</w:t>
      </w:r>
    </w:p>
    <w:p w:rsidR="002A0D4E" w:rsidRDefault="003B1257" w:rsidP="007C504E">
      <w:pPr>
        <w:pStyle w:val="ProtokollAhE"/>
      </w:pPr>
      <w:r w:rsidRPr="007C504E">
        <w:t>Ah.</w:t>
      </w:r>
      <w:r w:rsidR="00BC006A" w:rsidRPr="007C504E">
        <w:t xml:space="preserve"> </w:t>
      </w:r>
      <w:r w:rsidRPr="007C504E">
        <w:t xml:space="preserve">E. </w:t>
      </w:r>
      <w:r w:rsidR="00361A23" w:rsidRPr="007C504E">
        <w:t xml:space="preserve">Ich habe den Inhalt dieses Protokolles zur Kenntnis genommen. </w:t>
      </w:r>
      <w:r w:rsidR="00361A23">
        <w:t>Wien, am 22. September 1914. Franz Joseph.</w:t>
      </w:r>
    </w:p>
    <w:sectPr w:rsidR="002A0D4E" w:rsidSect="002720E6">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7435" w:rsidRDefault="00DD7435" w:rsidP="003B1257">
      <w:pPr>
        <w:spacing w:after="0" w:line="240" w:lineRule="auto"/>
      </w:pPr>
      <w:r>
        <w:separator/>
      </w:r>
    </w:p>
  </w:endnote>
  <w:endnote w:type="continuationSeparator" w:id="0">
    <w:p w:rsidR="00DD7435" w:rsidRDefault="00DD7435" w:rsidP="003B1257">
      <w:pPr>
        <w:spacing w:after="0" w:line="240" w:lineRule="auto"/>
      </w:pPr>
      <w:r>
        <w:continuationSeparator/>
      </w:r>
    </w:p>
  </w:endnote>
  <w:endnote w:id="1">
    <w:p w:rsidR="002720E6" w:rsidRPr="002720E6" w:rsidRDefault="002720E6">
      <w:pPr>
        <w:pStyle w:val="Endnotentext"/>
      </w:pPr>
      <w:r>
        <w:rPr>
          <w:rStyle w:val="Endnotenzeichen"/>
        </w:rPr>
        <w:endnoteRef/>
      </w:r>
      <w:r>
        <w:t xml:space="preserve"> </w:t>
      </w:r>
      <w:r w:rsidRPr="002720E6">
        <w:rPr>
          <w:i/>
        </w:rPr>
        <w:t xml:space="preserve">Die Ausnahmsverfügungen liegen dem Originalprotokoll als </w:t>
      </w:r>
      <w:r>
        <w:rPr>
          <w:i/>
        </w:rPr>
        <w:t>Blankovordrucke der Verordnungen</w:t>
      </w:r>
      <w:r w:rsidRPr="002720E6">
        <w:rPr>
          <w:i/>
        </w:rPr>
        <w:t xml:space="preserve"> bei.</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6858323"/>
      <w:docPartObj>
        <w:docPartGallery w:val="Page Numbers (Bottom of Page)"/>
        <w:docPartUnique/>
      </w:docPartObj>
    </w:sdtPr>
    <w:sdtEndPr/>
    <w:sdtContent>
      <w:p w:rsidR="003B1257" w:rsidRDefault="003B1257">
        <w:pPr>
          <w:pStyle w:val="Fuzeile"/>
          <w:jc w:val="right"/>
        </w:pPr>
        <w:r>
          <w:fldChar w:fldCharType="begin"/>
        </w:r>
        <w:r>
          <w:instrText>PAGE   \* MERGEFORMAT</w:instrText>
        </w:r>
        <w:r>
          <w:fldChar w:fldCharType="separate"/>
        </w:r>
        <w:r w:rsidR="00C70B1B" w:rsidRPr="00C70B1B">
          <w:rPr>
            <w:noProof/>
            <w:lang w:val="de-DE"/>
          </w:rPr>
          <w:t>6</w:t>
        </w:r>
        <w:r>
          <w:fldChar w:fldCharType="end"/>
        </w:r>
      </w:p>
    </w:sdtContent>
  </w:sdt>
  <w:p w:rsidR="003B1257" w:rsidRDefault="003B12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7435" w:rsidRDefault="00DD7435" w:rsidP="003B1257">
      <w:pPr>
        <w:spacing w:after="0" w:line="240" w:lineRule="auto"/>
      </w:pPr>
      <w:r>
        <w:separator/>
      </w:r>
    </w:p>
  </w:footnote>
  <w:footnote w:type="continuationSeparator" w:id="0">
    <w:p w:rsidR="00DD7435" w:rsidRDefault="00DD7435" w:rsidP="003B1257">
      <w:pPr>
        <w:spacing w:after="0" w:line="240" w:lineRule="auto"/>
      </w:pPr>
      <w:r>
        <w:continuationSeparator/>
      </w:r>
    </w:p>
  </w:footnote>
  <w:footnote w:id="1">
    <w:p w:rsidR="00E43E6B" w:rsidRPr="00971A9C" w:rsidRDefault="00E43E6B" w:rsidP="00E43E6B">
      <w:pPr>
        <w:pStyle w:val="Funotentext"/>
      </w:pPr>
      <w:r w:rsidRPr="00CE7B09">
        <w:rPr>
          <w:rStyle w:val="Funotenzeichen"/>
        </w:rPr>
        <w:footnoteRef/>
      </w:r>
      <w:r>
        <w:t xml:space="preserve"> </w:t>
      </w:r>
      <w:r w:rsidRPr="003466B5">
        <w:rPr>
          <w:rStyle w:val="EditorischerEingriff"/>
        </w:rPr>
        <w:t xml:space="preserve">Mit den Untersuchungen sind wohl die Ergebnisse der Ermittlungen zum Attentat auf den Thronfolger </w:t>
      </w:r>
      <w:hyperlink r:id="rId1" w:history="1">
        <w:r w:rsidR="00681F19" w:rsidRPr="00681F19">
          <w:rPr>
            <w:rStyle w:val="EditorischerEingriff"/>
          </w:rPr>
          <w:t>Franz Ferdinand</w:t>
        </w:r>
      </w:hyperlink>
      <w:r w:rsidRPr="003466B5">
        <w:rPr>
          <w:rStyle w:val="EditorischerEingriff"/>
        </w:rPr>
        <w:t xml:space="preserve"> am 28. 6. 1914 in </w:t>
      </w:r>
      <w:hyperlink r:id="rId2" w:history="1">
        <w:r w:rsidR="00681F19" w:rsidRPr="00681F19">
          <w:rPr>
            <w:rStyle w:val="EditorischerEingriff"/>
          </w:rPr>
          <w:t xml:space="preserve">Sarajevo </w:t>
        </w:r>
      </w:hyperlink>
      <w:r w:rsidRPr="003466B5">
        <w:rPr>
          <w:rStyle w:val="EditorischerEingriff"/>
        </w:rPr>
        <w:t xml:space="preserve">gemeint, insbesondere Aussagen der Attentäter </w:t>
      </w:r>
      <w:r w:rsidR="00681F19">
        <w:rPr>
          <w:rStyle w:val="EditorischerEingriff"/>
        </w:rPr>
        <w:t>[[</w:t>
      </w:r>
      <w:proofErr w:type="spellStart"/>
      <w:r w:rsidR="00681F19">
        <w:rPr>
          <w:rFonts w:eastAsia="Times New Roman"/>
        </w:rPr>
        <w:fldChar w:fldCharType="begin"/>
      </w:r>
      <w:r w:rsidR="00681F19">
        <w:rPr>
          <w:rFonts w:eastAsia="Times New Roman"/>
        </w:rPr>
        <w:instrText xml:space="preserve"> HYPERLINK "http://d-nb.info/gnd/123563895" </w:instrText>
      </w:r>
      <w:r w:rsidR="00681F19">
        <w:rPr>
          <w:rFonts w:eastAsia="Times New Roman"/>
        </w:rPr>
        <w:fldChar w:fldCharType="separate"/>
      </w:r>
      <w:r w:rsidR="00681F19">
        <w:rPr>
          <w:rStyle w:val="Hyperlink"/>
          <w:rFonts w:eastAsia="Times New Roman"/>
        </w:rPr>
        <w:t>Gavrilo</w:t>
      </w:r>
      <w:r w:rsidR="00681F19" w:rsidRPr="00681F19">
        <w:rPr>
          <w:rStyle w:val="Hyperlink"/>
          <w:rFonts w:eastAsia="Times New Roman"/>
        </w:rPr>
        <w:t>_</w:t>
      </w:r>
      <w:r w:rsidR="00681F19">
        <w:rPr>
          <w:rStyle w:val="Hyperlink"/>
          <w:rFonts w:eastAsia="Times New Roman"/>
        </w:rPr>
        <w:t>Princip</w:t>
      </w:r>
      <w:proofErr w:type="spellEnd"/>
      <w:r w:rsidR="00681F19">
        <w:rPr>
          <w:rStyle w:val="Hyperlink"/>
          <w:rFonts w:eastAsia="Times New Roman"/>
        </w:rPr>
        <w:t xml:space="preserve"> </w:t>
      </w:r>
      <w:r w:rsidR="00681F19">
        <w:rPr>
          <w:rFonts w:eastAsia="Times New Roman"/>
        </w:rPr>
        <w:fldChar w:fldCharType="end"/>
      </w:r>
      <w:hyperlink r:id="rId3" w:history="1">
        <w:proofErr w:type="spellStart"/>
        <w:r w:rsidR="00681F19">
          <w:rPr>
            <w:rStyle w:val="Hyperlink"/>
            <w:rFonts w:eastAsia="Times New Roman"/>
          </w:rPr>
          <w:t>Nedeljko</w:t>
        </w:r>
        <w:r w:rsidR="00681F19" w:rsidRPr="00681F19">
          <w:rPr>
            <w:rStyle w:val="Hyperlink"/>
            <w:rFonts w:eastAsia="Times New Roman"/>
          </w:rPr>
          <w:t>_</w:t>
        </w:r>
        <w:r w:rsidR="00681F19">
          <w:rPr>
            <w:rStyle w:val="Hyperlink"/>
            <w:rFonts w:eastAsia="Times New Roman"/>
          </w:rPr>
          <w:t>Čabrinović</w:t>
        </w:r>
        <w:proofErr w:type="spellEnd"/>
      </w:hyperlink>
      <w:r w:rsidR="00681F19">
        <w:rPr>
          <w:rStyle w:val="EditorischerEingriff"/>
        </w:rPr>
        <w:t xml:space="preserve">]] </w:t>
      </w:r>
      <w:r w:rsidRPr="003466B5">
        <w:rPr>
          <w:rStyle w:val="EditorischerEingriff"/>
        </w:rPr>
        <w:t xml:space="preserve">über die Herkunft ihrer Waffen. Diese Ergebnisse sind in Abschrift und </w:t>
      </w:r>
      <w:r w:rsidR="002805E3" w:rsidRPr="003466B5">
        <w:rPr>
          <w:rStyle w:val="EditorischerEingriff"/>
        </w:rPr>
        <w:t>auf Deutsch übersetzt vorhanden:</w:t>
      </w:r>
      <w:r w:rsidR="002805E3">
        <w:t xml:space="preserve"> </w:t>
      </w:r>
      <w:r w:rsidR="00C70B1B" w:rsidRPr="007C504E">
        <w:rPr>
          <w:rStyle w:val="Kapitlchen"/>
        </w:rPr>
        <w:t>Hhsta</w:t>
      </w:r>
      <w:r w:rsidR="0002724B" w:rsidRPr="007C504E">
        <w:rPr>
          <w:rStyle w:val="Buchtitel"/>
        </w:rPr>
        <w:t>.</w:t>
      </w:r>
      <w:r w:rsidR="003C5570" w:rsidRPr="007C504E">
        <w:rPr>
          <w:rStyle w:val="Buchtitel"/>
        </w:rPr>
        <w:t xml:space="preserve">, </w:t>
      </w:r>
      <w:r w:rsidRPr="007C504E">
        <w:rPr>
          <w:rStyle w:val="Buchtitel"/>
        </w:rPr>
        <w:t>Habsburgisch-Lothringische Hausarchive</w:t>
      </w:r>
      <w:r w:rsidR="002805E3" w:rsidRPr="007C504E">
        <w:rPr>
          <w:rStyle w:val="Buchtitel"/>
        </w:rPr>
        <w:t>, Nachlass Franz Ferdinand, Kt. 167, VII. Prozeß in Sarajevo</w:t>
      </w:r>
      <w:r w:rsidRPr="007C504E">
        <w:rPr>
          <w:rStyle w:val="Buchtitel"/>
        </w:rPr>
        <w:t xml:space="preserve">. </w:t>
      </w:r>
      <w:r w:rsidR="002805E3" w:rsidRPr="007C504E">
        <w:rPr>
          <w:rStyle w:val="Buchtitel"/>
        </w:rPr>
        <w:t>Übersetzung der Prozessakten aus der Strafverhandlung des Kreisgerichtes Sarajevo wider Gavrilo Prinzip und Genossen wegen der Verbrechen des Mordes und Hochverrats</w:t>
      </w:r>
      <w:r w:rsidR="007C504E">
        <w:rPr>
          <w:rStyle w:val="Buchtitel"/>
        </w:rPr>
        <w:t>,</w:t>
      </w:r>
      <w:r w:rsidR="002805E3" w:rsidRPr="007C504E">
        <w:rPr>
          <w:rStyle w:val="Buchtitel"/>
        </w:rPr>
        <w:t xml:space="preserve"> </w:t>
      </w:r>
      <w:r w:rsidR="003466B5" w:rsidRPr="003466B5">
        <w:rPr>
          <w:bCs/>
          <w:color w:val="4F81BD" w:themeColor="accent1"/>
        </w:rPr>
        <w:t xml:space="preserve">Untersuchungsprotokolle der Verhöre Gavrilo Princips v. 28. 6. – 4. 8. 1914 und Nedeljko Čabrinović‘ v. 28.6.– 15. 8. 1914, </w:t>
      </w:r>
      <w:r w:rsidR="002805E3" w:rsidRPr="007C504E">
        <w:rPr>
          <w:rStyle w:val="Buchtitel"/>
        </w:rPr>
        <w:t>99–192</w:t>
      </w:r>
      <w:r w:rsidR="002805E3">
        <w:t xml:space="preserve">. </w:t>
      </w:r>
      <w:r w:rsidRPr="003466B5">
        <w:rPr>
          <w:rStyle w:val="EditorischerEingriff"/>
        </w:rPr>
        <w:t>Erkenntnisse bezüglich der Hintergründe des Attentats wurden laufend in Telegrammen des Landeschefs von Bosnien</w:t>
      </w:r>
      <w:r w:rsidR="003466B5">
        <w:rPr>
          <w:rStyle w:val="EditorischerEingriff"/>
        </w:rPr>
        <w:t xml:space="preserve"> und </w:t>
      </w:r>
      <w:r w:rsidR="00463526" w:rsidRPr="003466B5">
        <w:rPr>
          <w:rStyle w:val="EditorischerEingriff"/>
        </w:rPr>
        <w:t>Her</w:t>
      </w:r>
      <w:r w:rsidR="00463526">
        <w:rPr>
          <w:rStyle w:val="EditorischerEingriff"/>
        </w:rPr>
        <w:t>z</w:t>
      </w:r>
      <w:r w:rsidR="00463526" w:rsidRPr="003466B5">
        <w:rPr>
          <w:rStyle w:val="EditorischerEingriff"/>
        </w:rPr>
        <w:t>egowina</w:t>
      </w:r>
      <w:r w:rsidRPr="003466B5">
        <w:rPr>
          <w:rStyle w:val="EditorischerEingriff"/>
        </w:rPr>
        <w:t xml:space="preserve">, </w:t>
      </w:r>
      <w:hyperlink r:id="rId4" w:history="1">
        <w:r w:rsidR="00463526" w:rsidRPr="00463526">
          <w:rPr>
            <w:rStyle w:val="EditorischerEingriff"/>
          </w:rPr>
          <w:t xml:space="preserve">Oskar Potiorek </w:t>
        </w:r>
      </w:hyperlink>
      <w:r w:rsidRPr="003466B5">
        <w:rPr>
          <w:rStyle w:val="EditorischerEingriff"/>
        </w:rPr>
        <w:t xml:space="preserve">aus </w:t>
      </w:r>
      <w:hyperlink r:id="rId5" w:history="1">
        <w:r w:rsidR="00681F19" w:rsidRPr="00681F19">
          <w:rPr>
            <w:rStyle w:val="EditorischerEingriff"/>
          </w:rPr>
          <w:t xml:space="preserve">Sarajewo </w:t>
        </w:r>
      </w:hyperlink>
      <w:r w:rsidRPr="003466B5">
        <w:rPr>
          <w:rStyle w:val="EditorischerEingriff"/>
        </w:rPr>
        <w:t xml:space="preserve">und vom österreichisch-ungarischen Gesandten </w:t>
      </w:r>
      <w:hyperlink r:id="rId6" w:history="1">
        <w:r w:rsidR="00681F19" w:rsidRPr="00681F19">
          <w:rPr>
            <w:rStyle w:val="EditorischerEingriff"/>
          </w:rPr>
          <w:t xml:space="preserve">Wladimir v. Giesl </w:t>
        </w:r>
      </w:hyperlink>
      <w:r w:rsidRPr="00463526">
        <w:rPr>
          <w:rStyle w:val="EditorischerEingriff"/>
        </w:rPr>
        <w:t xml:space="preserve">aus </w:t>
      </w:r>
      <w:hyperlink r:id="rId7" w:history="1">
        <w:r w:rsidR="00F8070A" w:rsidRPr="00463526">
          <w:rPr>
            <w:rStyle w:val="EditorischerEingriff"/>
          </w:rPr>
          <w:t>Belgrad</w:t>
        </w:r>
        <w:r w:rsidR="00F8070A">
          <w:rPr>
            <w:rStyle w:val="editorischereingriff0"/>
            <w:rFonts w:eastAsia="Times New Roman"/>
            <w:color w:val="0000FF"/>
          </w:rPr>
          <w:t xml:space="preserve"> </w:t>
        </w:r>
      </w:hyperlink>
      <w:r w:rsidRPr="003466B5">
        <w:rPr>
          <w:rStyle w:val="EditorischerEingriff"/>
        </w:rPr>
        <w:t xml:space="preserve">nach Wien gemeldet. </w:t>
      </w:r>
      <w:r w:rsidRPr="007C504E">
        <w:rPr>
          <w:rStyle w:val="Kapitlchen"/>
        </w:rPr>
        <w:t xml:space="preserve">Österreich-Ungarns Außenpolitik, </w:t>
      </w:r>
      <w:r w:rsidRPr="007C504E">
        <w:rPr>
          <w:rStyle w:val="Buchtitel"/>
        </w:rPr>
        <w:t>Bd. 8, 208ff.</w:t>
      </w:r>
    </w:p>
  </w:footnote>
  <w:footnote w:id="2">
    <w:p w:rsidR="00E43E6B" w:rsidRPr="00C673BE" w:rsidRDefault="00E43E6B" w:rsidP="00E43E6B">
      <w:pPr>
        <w:pStyle w:val="Funotentext"/>
      </w:pPr>
      <w:r w:rsidRPr="00CE7B09">
        <w:rPr>
          <w:rStyle w:val="Funotenzeichen"/>
        </w:rPr>
        <w:footnoteRef/>
      </w:r>
      <w:r>
        <w:t xml:space="preserve"> </w:t>
      </w:r>
      <w:r w:rsidRPr="003466B5">
        <w:rPr>
          <w:rStyle w:val="EditorischerEingriff"/>
        </w:rPr>
        <w:t>Es handelt sich um das auch als Demarche bekannte Ultimatum Österreich-Ungarns an Serbien. Der Entwurf des Textes</w:t>
      </w:r>
      <w:r w:rsidR="005F5839" w:rsidRPr="003466B5">
        <w:rPr>
          <w:rStyle w:val="EditorischerEingriff"/>
        </w:rPr>
        <w:t xml:space="preserve"> der am 23. 7. 1914 an die </w:t>
      </w:r>
      <w:r w:rsidRPr="003466B5">
        <w:rPr>
          <w:rStyle w:val="EditorischerEingriff"/>
        </w:rPr>
        <w:t xml:space="preserve">serbische Regierung zu übergebenden Note befindet sich in deutscher Übersetzung in einem Schreiben </w:t>
      </w:r>
      <w:hyperlink r:id="rId8" w:history="1">
        <w:r w:rsidR="00F6594F" w:rsidRPr="00F6594F">
          <w:rPr>
            <w:rStyle w:val="EditorischerEingriff"/>
          </w:rPr>
          <w:t xml:space="preserve">Berchtolds </w:t>
        </w:r>
      </w:hyperlink>
      <w:r w:rsidRPr="003466B5">
        <w:rPr>
          <w:rStyle w:val="EditorischerEingriff"/>
        </w:rPr>
        <w:t xml:space="preserve">an </w:t>
      </w:r>
      <w:hyperlink r:id="rId9" w:history="1">
        <w:r w:rsidR="00681F19" w:rsidRPr="00681F19">
          <w:rPr>
            <w:rStyle w:val="EditorischerEingriff"/>
          </w:rPr>
          <w:t>Giesl</w:t>
        </w:r>
      </w:hyperlink>
      <w:r w:rsidRPr="003466B5">
        <w:rPr>
          <w:rStyle w:val="EditorischerEingriff"/>
        </w:rPr>
        <w:t xml:space="preserve">, </w:t>
      </w:r>
      <w:r w:rsidR="00C70B1B" w:rsidRPr="007C504E">
        <w:rPr>
          <w:rStyle w:val="Kapitlchen"/>
        </w:rPr>
        <w:t>Hhsta</w:t>
      </w:r>
      <w:r w:rsidR="0008703A" w:rsidRPr="007C504E">
        <w:rPr>
          <w:rStyle w:val="Buchtitel"/>
        </w:rPr>
        <w:t>.</w:t>
      </w:r>
      <w:r w:rsidRPr="007C504E">
        <w:rPr>
          <w:rStyle w:val="Buchtitel"/>
        </w:rPr>
        <w:t>, MdÄ</w:t>
      </w:r>
      <w:r w:rsidR="0008703A" w:rsidRPr="007C504E">
        <w:rPr>
          <w:rStyle w:val="Buchtitel"/>
        </w:rPr>
        <w:t>.</w:t>
      </w:r>
      <w:r w:rsidRPr="007C504E">
        <w:rPr>
          <w:rStyle w:val="Buchtitel"/>
        </w:rPr>
        <w:t>, Politisches Archiv, PA</w:t>
      </w:r>
      <w:r w:rsidR="0008703A" w:rsidRPr="007C504E">
        <w:rPr>
          <w:rStyle w:val="Buchtitel"/>
        </w:rPr>
        <w:t>.</w:t>
      </w:r>
      <w:r w:rsidRPr="007C504E">
        <w:rPr>
          <w:rStyle w:val="Buchtitel"/>
        </w:rPr>
        <w:t xml:space="preserve"> I 811 / 1914</w:t>
      </w:r>
      <w:r w:rsidRPr="003466B5">
        <w:rPr>
          <w:rStyle w:val="EditorischerEingriff"/>
        </w:rPr>
        <w:t>.</w:t>
      </w:r>
      <w:r>
        <w:t xml:space="preserve"> </w:t>
      </w:r>
      <w:r w:rsidRPr="003466B5">
        <w:rPr>
          <w:rStyle w:val="EditorischerEingriff"/>
        </w:rPr>
        <w:t xml:space="preserve">In einem am 23. 7. 1914 um 19 Uhr in </w:t>
      </w:r>
      <w:hyperlink r:id="rId10" w:history="1">
        <w:r w:rsidR="00F6594F" w:rsidRPr="00F6594F">
          <w:rPr>
            <w:rStyle w:val="EditorischerEingriff"/>
          </w:rPr>
          <w:t xml:space="preserve">Semlin/Zemun </w:t>
        </w:r>
      </w:hyperlink>
      <w:r w:rsidRPr="003466B5">
        <w:rPr>
          <w:rStyle w:val="EditorischerEingriff"/>
        </w:rPr>
        <w:t xml:space="preserve">aufgegebenen verschlüsselten Telegramm, das in Wien um 22.30 Uhr eintraf, meldete </w:t>
      </w:r>
      <w:hyperlink r:id="rId11" w:history="1">
        <w:r w:rsidR="00681F19" w:rsidRPr="00681F19">
          <w:rPr>
            <w:rStyle w:val="EditorischerEingriff"/>
          </w:rPr>
          <w:t xml:space="preserve">Giesl </w:t>
        </w:r>
      </w:hyperlink>
      <w:r w:rsidRPr="00C673BE">
        <w:t>Ultimatum an Serbien. Bezügliche Note heute sechs U</w:t>
      </w:r>
      <w:r>
        <w:t xml:space="preserve">hr abends Herrn Paču übergeben. </w:t>
      </w:r>
      <w:r w:rsidRPr="007C504E">
        <w:rPr>
          <w:rStyle w:val="Kapitlchen"/>
        </w:rPr>
        <w:t>Österreich-Ungarns Außenpolitik</w:t>
      </w:r>
      <w:r w:rsidRPr="007C504E">
        <w:rPr>
          <w:rStyle w:val="Buchtitel"/>
        </w:rPr>
        <w:t>, Bd. 8, 595.</w:t>
      </w:r>
    </w:p>
  </w:footnote>
  <w:footnote w:id="3">
    <w:p w:rsidR="00E43E6B" w:rsidRPr="000C1075" w:rsidRDefault="00E43E6B" w:rsidP="00E43E6B">
      <w:pPr>
        <w:pStyle w:val="Funotentext"/>
      </w:pPr>
      <w:r w:rsidRPr="00CE7B09">
        <w:rPr>
          <w:rStyle w:val="Funotenzeichen"/>
        </w:rPr>
        <w:footnoteRef/>
      </w:r>
      <w:r>
        <w:t xml:space="preserve"> </w:t>
      </w:r>
      <w:r w:rsidRPr="003466B5">
        <w:rPr>
          <w:rStyle w:val="EditorischerEingriff"/>
        </w:rPr>
        <w:t>Fortsetzung</w:t>
      </w:r>
      <w:r>
        <w:t xml:space="preserve"> MR. v. 25. 7. 1914/I.</w:t>
      </w:r>
    </w:p>
  </w:footnote>
  <w:footnote w:id="4">
    <w:p w:rsidR="00E43E6B" w:rsidRPr="00971A9C" w:rsidRDefault="00E43E6B" w:rsidP="00E43E6B">
      <w:pPr>
        <w:pStyle w:val="Funotentext"/>
      </w:pPr>
      <w:r w:rsidRPr="00CE7B09">
        <w:rPr>
          <w:rStyle w:val="Funotenzeichen"/>
        </w:rPr>
        <w:footnoteRef/>
      </w:r>
      <w:r w:rsidRPr="00411C11">
        <w:t xml:space="preserve"> </w:t>
      </w:r>
      <w:r w:rsidRPr="003466B5">
        <w:rPr>
          <w:rStyle w:val="EditorischerEingriff"/>
        </w:rPr>
        <w:t xml:space="preserve">Die Vorträge </w:t>
      </w:r>
      <w:hyperlink r:id="rId12" w:history="1">
        <w:r w:rsidR="00F6594F" w:rsidRPr="00F6594F">
          <w:rPr>
            <w:rStyle w:val="EditorischerEingriff"/>
          </w:rPr>
          <w:t>Krobathins</w:t>
        </w:r>
      </w:hyperlink>
      <w:r w:rsidRPr="003466B5">
        <w:rPr>
          <w:rStyle w:val="EditorischerEingriff"/>
        </w:rPr>
        <w:t xml:space="preserve">, Georgis und </w:t>
      </w:r>
      <w:hyperlink r:id="rId13" w:history="1">
        <w:r w:rsidR="00F6594F" w:rsidRPr="00F6594F">
          <w:rPr>
            <w:rStyle w:val="EditorischerEingriff"/>
          </w:rPr>
          <w:t xml:space="preserve">Hazais </w:t>
        </w:r>
      </w:hyperlink>
      <w:r w:rsidRPr="003466B5">
        <w:rPr>
          <w:rStyle w:val="EditorischerEingriff"/>
        </w:rPr>
        <w:t xml:space="preserve">v. 21. 7. 1914 resolvierte </w:t>
      </w:r>
      <w:hyperlink r:id="rId14" w:history="1">
        <w:r w:rsidR="00F6594F" w:rsidRPr="00F6594F">
          <w:rPr>
            <w:rStyle w:val="EditorischerEingriff"/>
          </w:rPr>
          <w:t xml:space="preserve">Franz Josef </w:t>
        </w:r>
      </w:hyperlink>
      <w:r w:rsidRPr="003466B5">
        <w:rPr>
          <w:rStyle w:val="EditorischerEingriff"/>
        </w:rPr>
        <w:t xml:space="preserve">am 25. 7. 1914, womit er die </w:t>
      </w:r>
      <w:r w:rsidRPr="00E40011">
        <w:t>Mobilisierung Kriegsfall B</w:t>
      </w:r>
      <w:r w:rsidRPr="003466B5">
        <w:rPr>
          <w:rStyle w:val="EditorischerEingriff"/>
        </w:rPr>
        <w:t xml:space="preserve"> anordnete</w:t>
      </w:r>
      <w:r w:rsidRPr="00052DE9">
        <w:t xml:space="preserve">. </w:t>
      </w:r>
      <w:r w:rsidRPr="007C504E">
        <w:rPr>
          <w:rStyle w:val="Kapitlchen"/>
        </w:rPr>
        <w:t>Ka</w:t>
      </w:r>
      <w:r w:rsidRPr="007C504E">
        <w:rPr>
          <w:rStyle w:val="Buchtitel"/>
        </w:rPr>
        <w:t>., MKSM</w:t>
      </w:r>
      <w:r w:rsidR="0008703A" w:rsidRPr="007C504E">
        <w:rPr>
          <w:rStyle w:val="Buchtitel"/>
        </w:rPr>
        <w:t>.</w:t>
      </w:r>
      <w:r w:rsidRPr="007C504E">
        <w:rPr>
          <w:rStyle w:val="Buchtitel"/>
        </w:rPr>
        <w:t>, Ktn. 1140, Fasz. 69-6/11.</w:t>
      </w:r>
    </w:p>
  </w:footnote>
  <w:footnote w:id="5">
    <w:p w:rsidR="00E43E6B" w:rsidRPr="003466B5" w:rsidRDefault="00E43E6B" w:rsidP="00E43E6B">
      <w:pPr>
        <w:pStyle w:val="Funotentext"/>
        <w:rPr>
          <w:rStyle w:val="EditorischerEingriff"/>
        </w:rPr>
      </w:pPr>
      <w:r w:rsidRPr="00CE7B09">
        <w:rPr>
          <w:rStyle w:val="Funotenzeichen"/>
        </w:rPr>
        <w:footnoteRef/>
      </w:r>
      <w:r>
        <w:t xml:space="preserve"> </w:t>
      </w:r>
      <w:r w:rsidRPr="003466B5">
        <w:rPr>
          <w:rStyle w:val="EditorischerEingriff"/>
        </w:rPr>
        <w:t xml:space="preserve">Auf Vortrag Georgis v. 26. 7. 1914 </w:t>
      </w:r>
      <w:r w:rsidRPr="00EE1A5B">
        <w:t>zur eventuellen ausnahmsweisen Verwendung des Landsturmes außerhalb des Gesamtumfanges der im Reichsrate ver</w:t>
      </w:r>
      <w:r>
        <w:t>tretenen Königreiche und Länder</w:t>
      </w:r>
      <w:r w:rsidRPr="003466B5">
        <w:rPr>
          <w:rStyle w:val="EditorischerEingriff"/>
        </w:rPr>
        <w:t xml:space="preserve"> wurde mit Ah. E. v. 27. 7. 1914 die entsprechende Genehmigung erteilt.</w:t>
      </w:r>
    </w:p>
  </w:footnote>
  <w:footnote w:id="6">
    <w:p w:rsidR="000C1075" w:rsidRPr="000C1075" w:rsidRDefault="000C1075">
      <w:pPr>
        <w:pStyle w:val="Funotentext"/>
      </w:pPr>
      <w:r w:rsidRPr="00CE7B09">
        <w:rPr>
          <w:rStyle w:val="Funotenzeichen"/>
        </w:rPr>
        <w:footnoteRef/>
      </w:r>
      <w:r>
        <w:t xml:space="preserve"> </w:t>
      </w:r>
      <w:r w:rsidR="001C11A7" w:rsidRPr="007C504E">
        <w:rPr>
          <w:rStyle w:val="Kapitlchen"/>
        </w:rPr>
        <w:t>Rgbl</w:t>
      </w:r>
      <w:r w:rsidR="00306F8A" w:rsidRPr="007C504E">
        <w:rPr>
          <w:rStyle w:val="Buchtitel"/>
        </w:rPr>
        <w:t>. Nr. 90/1886.</w:t>
      </w:r>
    </w:p>
  </w:footnote>
  <w:footnote w:id="7">
    <w:p w:rsidR="008D4D86" w:rsidRPr="008D4D86" w:rsidRDefault="008D4D86" w:rsidP="008D4D86">
      <w:pPr>
        <w:pStyle w:val="Funotentext"/>
      </w:pPr>
      <w:r w:rsidRPr="00CE7B09">
        <w:rPr>
          <w:rStyle w:val="Funotenzeichen"/>
        </w:rPr>
        <w:footnoteRef/>
      </w:r>
      <w:r>
        <w:t xml:space="preserve"> </w:t>
      </w:r>
      <w:r w:rsidR="001C11A7" w:rsidRPr="007C504E">
        <w:rPr>
          <w:rStyle w:val="Kapitlchen"/>
        </w:rPr>
        <w:t>Rgbl</w:t>
      </w:r>
      <w:r w:rsidR="00F216A1" w:rsidRPr="007C504E">
        <w:rPr>
          <w:rStyle w:val="Buchtitel"/>
        </w:rPr>
        <w:t>. Nr. 90/1886, § 5</w:t>
      </w:r>
      <w:r w:rsidR="00F216A1">
        <w:t xml:space="preserve">. </w:t>
      </w:r>
      <w:proofErr w:type="spellStart"/>
      <w:r w:rsidR="007C504E" w:rsidRPr="007C504E">
        <w:rPr>
          <w:rStyle w:val="Kapitlchen"/>
        </w:rPr>
        <w:t>Lgbl</w:t>
      </w:r>
      <w:proofErr w:type="spellEnd"/>
      <w:r w:rsidR="00F216A1" w:rsidRPr="007C504E">
        <w:rPr>
          <w:rStyle w:val="Buchtitel"/>
        </w:rPr>
        <w:t xml:space="preserve">. Tirol und Vorarlberg Nr. </w:t>
      </w:r>
      <w:r w:rsidR="002720E6" w:rsidRPr="007C504E">
        <w:rPr>
          <w:rStyle w:val="Buchtitel"/>
        </w:rPr>
        <w:t>16/1895 u. 15/1908</w:t>
      </w:r>
      <w:r w:rsidR="002720E6">
        <w:t>.</w:t>
      </w:r>
      <w:r w:rsidR="002F6E29">
        <w:t xml:space="preserve"> </w:t>
      </w:r>
      <w:r w:rsidR="002F6E29" w:rsidRPr="003466B5">
        <w:rPr>
          <w:rStyle w:val="EditorischerEingriff"/>
        </w:rPr>
        <w:t>Siehe auch</w:t>
      </w:r>
      <w:r w:rsidR="002F6E29">
        <w:t xml:space="preserve"> MRP. v. 30. 7. 1914/II.</w:t>
      </w:r>
    </w:p>
  </w:footnote>
  <w:footnote w:id="8">
    <w:p w:rsidR="00E43E6B" w:rsidRPr="00306F8A" w:rsidRDefault="00E43E6B" w:rsidP="00E43E6B">
      <w:pPr>
        <w:pStyle w:val="Funotentext"/>
      </w:pPr>
      <w:r w:rsidRPr="00CE7B09">
        <w:rPr>
          <w:rStyle w:val="Funotenzeichen"/>
        </w:rPr>
        <w:footnoteRef/>
      </w:r>
      <w:r>
        <w:t xml:space="preserve"> </w:t>
      </w:r>
      <w:r w:rsidRPr="003466B5">
        <w:rPr>
          <w:rStyle w:val="EditorischerEingriff"/>
        </w:rPr>
        <w:t>Der Reichsrat war am 16. 3. 1914 von Stürgkh vertagt worden. Siehe</w:t>
      </w:r>
      <w:r>
        <w:t xml:space="preserve"> MR</w:t>
      </w:r>
      <w:r w:rsidR="0008703A">
        <w:t>.</w:t>
      </w:r>
      <w:r>
        <w:t xml:space="preserve"> v. 16. 3. 1914. </w:t>
      </w:r>
      <w:r w:rsidRPr="003466B5">
        <w:rPr>
          <w:rStyle w:val="EditorischerEingriff"/>
        </w:rPr>
        <w:t>Dieser Zustand sollte drei Jahre andauern. Zur Vorgeschichte siehe</w:t>
      </w:r>
      <w:r>
        <w:t xml:space="preserve"> </w:t>
      </w:r>
      <w:r w:rsidRPr="007C504E">
        <w:rPr>
          <w:rStyle w:val="Kapitlchen"/>
        </w:rPr>
        <w:t>Rumpler</w:t>
      </w:r>
      <w:r w:rsidRPr="007C504E">
        <w:rPr>
          <w:rStyle w:val="Buchtitel"/>
        </w:rPr>
        <w:t>, Parlament und Regierung, 885–892</w:t>
      </w:r>
      <w:r>
        <w:t>.</w:t>
      </w:r>
    </w:p>
  </w:footnote>
  <w:footnote w:id="9">
    <w:p w:rsidR="002720E6" w:rsidRPr="00AF310F" w:rsidRDefault="002720E6" w:rsidP="002720E6">
      <w:pPr>
        <w:pStyle w:val="Funotentext"/>
      </w:pPr>
      <w:r w:rsidRPr="00CE7B09">
        <w:rPr>
          <w:rStyle w:val="Funotenzeichen"/>
        </w:rPr>
        <w:footnoteRef/>
      </w:r>
      <w:r>
        <w:t xml:space="preserve"> </w:t>
      </w:r>
      <w:r w:rsidRPr="003466B5">
        <w:rPr>
          <w:rStyle w:val="EditorischerEingriff"/>
        </w:rPr>
        <w:t>Der Permanenzausschuss für Sozialversicherung des Abgeordnetenhauses hatte sich am 22. 1. 1909 konstituiert.</w:t>
      </w:r>
      <w:r w:rsidRPr="004067C4">
        <w:t xml:space="preserve"> </w:t>
      </w:r>
      <w:r w:rsidRPr="007C504E">
        <w:rPr>
          <w:rStyle w:val="Kapitlchen"/>
        </w:rPr>
        <w:t xml:space="preserve">Stenographische Protokolle, 18. Session. </w:t>
      </w:r>
      <w:r w:rsidRPr="007C504E">
        <w:rPr>
          <w:rStyle w:val="Buchtitel"/>
        </w:rPr>
        <w:t>Bd. 9, 8423</w:t>
      </w:r>
      <w:r>
        <w:t>.</w:t>
      </w:r>
    </w:p>
  </w:footnote>
  <w:footnote w:id="10">
    <w:p w:rsidR="002720E6" w:rsidRPr="00AF310F" w:rsidRDefault="002720E6" w:rsidP="002720E6">
      <w:pPr>
        <w:pStyle w:val="Funotentext"/>
      </w:pPr>
      <w:r w:rsidRPr="00CE7B09">
        <w:rPr>
          <w:rStyle w:val="Funotenzeichen"/>
        </w:rPr>
        <w:footnoteRef/>
      </w:r>
      <w:r>
        <w:t xml:space="preserve"> </w:t>
      </w:r>
      <w:r w:rsidRPr="003466B5">
        <w:rPr>
          <w:rStyle w:val="EditorischerEingriff"/>
        </w:rPr>
        <w:t>Auf Vortrag Stürgkhs v. 23. 7. 1914 wurde mit Ah. E. v. 24. 7. 1914 die Schließung des Reichsrates erlaubt:</w:t>
      </w:r>
      <w:r>
        <w:t xml:space="preserve"> </w:t>
      </w:r>
      <w:r w:rsidRPr="00DF0588">
        <w:t>Ich ermächtige Sie, erforderlichen Falles in dem Ihnen geeignet erscheinenden Zeitpunkte die XXI. Sessio</w:t>
      </w:r>
      <w:r>
        <w:t>n des Reichsrates zu schließen.</w:t>
      </w:r>
      <w:r w:rsidRPr="007C504E">
        <w:rPr>
          <w:rStyle w:val="Kapitlchen"/>
        </w:rPr>
        <w:t xml:space="preserve"> </w:t>
      </w:r>
      <w:r w:rsidR="00C70B1B" w:rsidRPr="007C504E">
        <w:rPr>
          <w:rStyle w:val="Kapitlchen"/>
        </w:rPr>
        <w:t>Hhsta</w:t>
      </w:r>
      <w:r w:rsidRPr="007C504E">
        <w:rPr>
          <w:rStyle w:val="Buchtitel"/>
        </w:rPr>
        <w:t>., Kab. Kanzlei, KZ. 1832/1914</w:t>
      </w:r>
      <w:r>
        <w:t>.</w:t>
      </w:r>
      <w:r w:rsidRPr="003466B5">
        <w:rPr>
          <w:rStyle w:val="EditorischerEingriff"/>
        </w:rPr>
        <w:t xml:space="preserve"> Die Einstellung der Sitzungen des Permanenzausschuss des Abgeordnetenhauses </w:t>
      </w:r>
      <w:r w:rsidR="00CE7B09" w:rsidRPr="003466B5">
        <w:rPr>
          <w:rStyle w:val="EditorischerEingriff"/>
        </w:rPr>
        <w:t xml:space="preserve">für Sozialversicherung </w:t>
      </w:r>
      <w:r w:rsidRPr="003466B5">
        <w:rPr>
          <w:rStyle w:val="EditorischerEingriff"/>
        </w:rPr>
        <w:t>wurde auf Vortrag Heinolds</w:t>
      </w:r>
      <w:r w:rsidRPr="00693EAB">
        <w:t xml:space="preserve"> </w:t>
      </w:r>
      <w:r w:rsidRPr="003466B5">
        <w:rPr>
          <w:rStyle w:val="EditorischerEingriff"/>
        </w:rPr>
        <w:t>v. 23. 7. 1914</w:t>
      </w:r>
      <w:r>
        <w:t xml:space="preserve"> </w:t>
      </w:r>
      <w:r w:rsidRPr="003466B5">
        <w:rPr>
          <w:rStyle w:val="EditorischerEingriff"/>
        </w:rPr>
        <w:t>mit</w:t>
      </w:r>
      <w:r w:rsidRPr="00693EAB">
        <w:t xml:space="preserve"> </w:t>
      </w:r>
      <w:r w:rsidRPr="003466B5">
        <w:rPr>
          <w:rStyle w:val="EditorischerEingriff"/>
        </w:rPr>
        <w:t>Ah. E. v. 24. 7. 1914</w:t>
      </w:r>
      <w:r>
        <w:t xml:space="preserve"> </w:t>
      </w:r>
      <w:r w:rsidRPr="003466B5">
        <w:rPr>
          <w:rStyle w:val="EditorischerEingriff"/>
        </w:rPr>
        <w:t>verfügt</w:t>
      </w:r>
      <w:r w:rsidRPr="00693EAB">
        <w:t xml:space="preserve">, </w:t>
      </w:r>
      <w:r w:rsidR="00C70B1B" w:rsidRPr="007C504E">
        <w:rPr>
          <w:rStyle w:val="Kapitlchen"/>
        </w:rPr>
        <w:t>Hhsta</w:t>
      </w:r>
      <w:r w:rsidRPr="007C504E">
        <w:rPr>
          <w:rStyle w:val="Buchtitel"/>
        </w:rPr>
        <w:t>., Kab. Kanzlei, KZ. 1833/1914</w:t>
      </w:r>
      <w:r w:rsidRPr="00693EAB">
        <w:t>.</w:t>
      </w:r>
      <w:r w:rsidRPr="003466B5">
        <w:rPr>
          <w:rStyle w:val="EditorischerEingriff"/>
        </w:rPr>
        <w:t xml:space="preserve"> Die Schließung der acht Landtage und die Vertagung der Ausschüsse wurde auf Vortrag Heinolds v.</w:t>
      </w:r>
      <w:r>
        <w:t xml:space="preserve"> 23. 7. 1914 </w:t>
      </w:r>
      <w:r w:rsidRPr="003466B5">
        <w:rPr>
          <w:rStyle w:val="EditorischerEingriff"/>
        </w:rPr>
        <w:t>mit Ah. E. v.</w:t>
      </w:r>
      <w:r>
        <w:t xml:space="preserve"> 24. 7. 1914</w:t>
      </w:r>
      <w:r w:rsidRPr="003466B5">
        <w:rPr>
          <w:rStyle w:val="EditorischerEingriff"/>
        </w:rPr>
        <w:t xml:space="preserve"> genehmigt</w:t>
      </w:r>
      <w:r>
        <w:t xml:space="preserve">, </w:t>
      </w:r>
      <w:r w:rsidR="00C70B1B" w:rsidRPr="007C504E">
        <w:rPr>
          <w:rStyle w:val="Kapitlchen"/>
        </w:rPr>
        <w:t>Hhsta</w:t>
      </w:r>
      <w:r w:rsidRPr="007C504E">
        <w:rPr>
          <w:rStyle w:val="Buchtitel"/>
        </w:rPr>
        <w:t>., Kab. Kanzlei, KZ. 1834/1914</w:t>
      </w:r>
      <w:r>
        <w:t>.</w:t>
      </w:r>
    </w:p>
  </w:footnote>
  <w:footnote w:id="11">
    <w:p w:rsidR="002720E6" w:rsidRPr="00912C93" w:rsidRDefault="002720E6" w:rsidP="002720E6">
      <w:pPr>
        <w:pStyle w:val="Funotentext"/>
      </w:pPr>
      <w:r w:rsidRPr="00CE7B09">
        <w:rPr>
          <w:rStyle w:val="Funotenzeichen"/>
        </w:rPr>
        <w:footnoteRef/>
      </w:r>
      <w:r>
        <w:t xml:space="preserve"> </w:t>
      </w:r>
      <w:r w:rsidRPr="003466B5">
        <w:rPr>
          <w:rStyle w:val="EditorischerEingriff"/>
        </w:rPr>
        <w:t xml:space="preserve">Gemeint ist § 14, der Notverordnungsparagraph in der so genannten Dezemberverfassung: </w:t>
      </w:r>
      <w:r w:rsidRPr="002720E6">
        <w:t>Grundgesetz über die Reichsvertretung vom 21. Dezember 1867,</w:t>
      </w:r>
      <w:r>
        <w:t xml:space="preserve"> </w:t>
      </w:r>
      <w:r w:rsidR="001C11A7" w:rsidRPr="007C504E">
        <w:rPr>
          <w:rStyle w:val="Kapitlchen"/>
        </w:rPr>
        <w:t>Rgbl</w:t>
      </w:r>
      <w:r w:rsidRPr="007C504E">
        <w:rPr>
          <w:rStyle w:val="Buchtitel"/>
        </w:rPr>
        <w:t>. Nr. 141/1867</w:t>
      </w:r>
      <w:r>
        <w:t xml:space="preserve">. </w:t>
      </w:r>
      <w:r w:rsidRPr="003466B5">
        <w:rPr>
          <w:rStyle w:val="EditorischerEingriff"/>
        </w:rPr>
        <w:t xml:space="preserve">Siehe </w:t>
      </w:r>
      <w:r w:rsidRPr="007C504E">
        <w:rPr>
          <w:rStyle w:val="Kapitlchen"/>
        </w:rPr>
        <w:t>Haider</w:t>
      </w:r>
      <w:r w:rsidRPr="007C504E">
        <w:rPr>
          <w:rStyle w:val="Buchtitel"/>
        </w:rPr>
        <w:t>, Protokolle des Verfassungsausschusses, 87–94</w:t>
      </w:r>
      <w:r w:rsidRPr="003466B5">
        <w:rPr>
          <w:rStyle w:val="EditorischerEingriff"/>
        </w:rPr>
        <w:t xml:space="preserve">. Zur Anwendung dieses Paragraphen, siehe </w:t>
      </w:r>
      <w:r w:rsidRPr="007C504E">
        <w:rPr>
          <w:rStyle w:val="Kapitlchen"/>
        </w:rPr>
        <w:t>Hasiba</w:t>
      </w:r>
      <w:r w:rsidRPr="007C504E">
        <w:rPr>
          <w:rStyle w:val="Buchtitel"/>
        </w:rPr>
        <w:t>, Notverordnungsrecht,</w:t>
      </w:r>
      <w:r w:rsidRPr="00216F78">
        <w:t xml:space="preserve"> </w:t>
      </w:r>
      <w:r w:rsidRPr="003466B5">
        <w:rPr>
          <w:rStyle w:val="EditorischerEingriff"/>
        </w:rPr>
        <w:t>insbesondere Seite 149.</w:t>
      </w:r>
    </w:p>
  </w:footnote>
  <w:footnote w:id="12">
    <w:p w:rsidR="00625ECB" w:rsidRPr="00625ECB" w:rsidRDefault="00625ECB" w:rsidP="00C75EED">
      <w:pPr>
        <w:pStyle w:val="Funotentext"/>
      </w:pPr>
      <w:r w:rsidRPr="00CE7B09">
        <w:rPr>
          <w:rStyle w:val="Funotenzeichen"/>
        </w:rPr>
        <w:footnoteRef/>
      </w:r>
      <w:r>
        <w:t xml:space="preserve"> </w:t>
      </w:r>
      <w:r w:rsidR="00B04676" w:rsidRPr="003466B5">
        <w:rPr>
          <w:rStyle w:val="EditorischerEingriff"/>
        </w:rPr>
        <w:t xml:space="preserve">Es handelt sich um </w:t>
      </w:r>
      <w:r w:rsidR="000C1075" w:rsidRPr="003466B5">
        <w:rPr>
          <w:rStyle w:val="EditorischerEingriff"/>
        </w:rPr>
        <w:t>das geheime</w:t>
      </w:r>
      <w:r w:rsidR="00B04676" w:rsidRPr="003466B5">
        <w:rPr>
          <w:rStyle w:val="EditorischerEingriff"/>
        </w:rPr>
        <w:t xml:space="preserve"> Handbuch für den Mobilisierungsfall, das 1906 eingeführt wurde und in allen cisleithanischen Behörden in abgestufter Ausführlichkeit vorlag. Es </w:t>
      </w:r>
      <w:r w:rsidR="00116332" w:rsidRPr="003466B5">
        <w:rPr>
          <w:rStyle w:val="EditorischerEingriff"/>
        </w:rPr>
        <w:t>war</w:t>
      </w:r>
      <w:r w:rsidR="00B04676" w:rsidRPr="003466B5">
        <w:rPr>
          <w:rStyle w:val="EditorischerEingriff"/>
        </w:rPr>
        <w:t xml:space="preserve"> auch bekannt als Dienstbuch J-25. Im Juli 1914 konnten die Zeitgenossen die zu erlassenden Verfügungen mit der dritten Auflage des Geheimen Orientierungsbehelfs von 1912 abgleichen. Eine geplante vierte Auflage war nie </w:t>
      </w:r>
      <w:r w:rsidR="003463C8" w:rsidRPr="003466B5">
        <w:rPr>
          <w:rStyle w:val="EditorischerEingriff"/>
        </w:rPr>
        <w:t>zustande gekommen</w:t>
      </w:r>
      <w:r w:rsidR="00B04676" w:rsidRPr="003466B5">
        <w:rPr>
          <w:rStyle w:val="EditorischerEingriff"/>
        </w:rPr>
        <w:t xml:space="preserve">, die dafür vorgesehenen Ausnahmeverfügungen traten aber in Kraft. </w:t>
      </w:r>
      <w:r w:rsidR="00B04676" w:rsidRPr="00B04676">
        <w:t>Orientierungsbehelf über Ausnahmeverfügungen für den Kriegsfall. Für die im Reichrate vertretenen Königreiche und Länder, Wien 1912.</w:t>
      </w:r>
      <w:r w:rsidR="00B04676" w:rsidRPr="003466B5">
        <w:rPr>
          <w:rStyle w:val="EditorischerEingriff"/>
        </w:rPr>
        <w:t xml:space="preserve"> Siehe auch </w:t>
      </w:r>
      <w:r w:rsidR="00B04676" w:rsidRPr="007C504E">
        <w:rPr>
          <w:rStyle w:val="Kapitlchen"/>
        </w:rPr>
        <w:t>Scheer</w:t>
      </w:r>
      <w:r w:rsidR="00B04676" w:rsidRPr="007C504E">
        <w:rPr>
          <w:rStyle w:val="Buchtitel"/>
        </w:rPr>
        <w:t xml:space="preserve">, </w:t>
      </w:r>
      <w:r w:rsidR="00116332" w:rsidRPr="007C504E">
        <w:rPr>
          <w:rStyle w:val="Buchtitel"/>
        </w:rPr>
        <w:t xml:space="preserve">Kontrolle, Leitung und Überwachung, </w:t>
      </w:r>
      <w:r w:rsidR="00B04676" w:rsidRPr="007C504E">
        <w:rPr>
          <w:rStyle w:val="Buchtitel"/>
        </w:rPr>
        <w:t>16, 33</w:t>
      </w:r>
      <w:r w:rsidR="00B04676" w:rsidRPr="003466B5">
        <w:rPr>
          <w:rStyle w:val="EditorischerEingriff"/>
        </w:rPr>
        <w:t>.</w:t>
      </w:r>
    </w:p>
  </w:footnote>
  <w:footnote w:id="13">
    <w:p w:rsidR="00D33DE0" w:rsidRPr="002E14E9" w:rsidRDefault="00D33DE0" w:rsidP="00D33DE0">
      <w:pPr>
        <w:pStyle w:val="Funotentext"/>
      </w:pPr>
      <w:r w:rsidRPr="00CE7B09">
        <w:rPr>
          <w:rStyle w:val="Funotenzeichen"/>
        </w:rPr>
        <w:footnoteRef/>
      </w:r>
      <w:r>
        <w:t xml:space="preserve"> </w:t>
      </w:r>
      <w:r w:rsidRPr="003466B5">
        <w:rPr>
          <w:rStyle w:val="EditorischerEingriff"/>
        </w:rPr>
        <w:t>Die beschlossenen Verordnungen waren auf den so genannten Kriegsfall B (Balkan) abgestimmt und enthielten folgende im Orientierungsbehelf vorgesehene Verordnungen nicht: a-Übertragung von Befugnissen der politischen Verwaltung an den Höchstkommandierenden der zu Kriegsoperationen bestimmten Teile der bewaffneten Macht, e-Beschränkende polizeiliche Anordnungen über das Meldewesen, g-Einschränkungen des Besitzes von Waffen, Munition, Sprengstoff für Kriegsfall R (Russland) und I (Italien), m-Amtsbereiche der Militärgerichte, die zur Ausübung der Strafgerichtsbarkeit über Zivilpersonen berufen sind, s- Missbrauch von Brieftauben, t-Missbrauch von Luftfahrzeugen, w-Ergänzung von v bzw. 17, x-Beschränkung des Seeschiffsverkehrs. Die Verordnungen 4 und 7 waren tatsächlich, wie hier angegeben, neu, also im Orientierungsbehelf nicht enthalten.</w:t>
      </w:r>
      <w:r w:rsidRPr="007C504E">
        <w:rPr>
          <w:rStyle w:val="Kapitlchen"/>
        </w:rPr>
        <w:t xml:space="preserve"> Orientierungsbehelf, </w:t>
      </w:r>
      <w:proofErr w:type="spellStart"/>
      <w:r w:rsidRPr="007C504E">
        <w:rPr>
          <w:rStyle w:val="Buchtitel"/>
        </w:rPr>
        <w:t>ivf</w:t>
      </w:r>
      <w:proofErr w:type="spellEnd"/>
      <w:r w:rsidRPr="007C504E">
        <w:rPr>
          <w:rStyle w:val="Buchtitel"/>
        </w:rPr>
        <w:t>.</w:t>
      </w:r>
      <w:r>
        <w:t xml:space="preserve"> </w:t>
      </w:r>
    </w:p>
  </w:footnote>
  <w:footnote w:id="14">
    <w:p w:rsidR="00216F78" w:rsidRPr="00216F78" w:rsidRDefault="00216F78">
      <w:pPr>
        <w:pStyle w:val="Funotentext"/>
      </w:pPr>
      <w:r w:rsidRPr="00CE7B09">
        <w:rPr>
          <w:rStyle w:val="Funotenzeichen"/>
        </w:rPr>
        <w:footnoteRef/>
      </w:r>
      <w:r>
        <w:t xml:space="preserve"> </w:t>
      </w:r>
      <w:r w:rsidR="001C11A7" w:rsidRPr="007C504E">
        <w:rPr>
          <w:rStyle w:val="Kapitlchen"/>
        </w:rPr>
        <w:t>Rgbl</w:t>
      </w:r>
      <w:r w:rsidR="00BC006A" w:rsidRPr="007C504E">
        <w:rPr>
          <w:rStyle w:val="Buchtitel"/>
        </w:rPr>
        <w:t>. Nr. 19/1855, Zweiter Theil, Seite 95ff.</w:t>
      </w:r>
    </w:p>
  </w:footnote>
  <w:footnote w:id="15">
    <w:p w:rsidR="00C023B8" w:rsidRPr="00C023B8" w:rsidRDefault="00C023B8">
      <w:pPr>
        <w:pStyle w:val="Funotentext"/>
      </w:pPr>
      <w:r w:rsidRPr="00CE7B09">
        <w:rPr>
          <w:rStyle w:val="Funotenzeichen"/>
        </w:rPr>
        <w:footnoteRef/>
      </w:r>
      <w:r>
        <w:t xml:space="preserve"> </w:t>
      </w:r>
      <w:r w:rsidRPr="003466B5">
        <w:rPr>
          <w:rStyle w:val="EditorischerEingriff"/>
        </w:rPr>
        <w:t>Beschränkt werden sollte die Einfuhr von</w:t>
      </w:r>
      <w:r>
        <w:t xml:space="preserve"> </w:t>
      </w:r>
      <w:r w:rsidRPr="003466B5">
        <w:rPr>
          <w:rStyle w:val="EditorischerEingriff"/>
        </w:rPr>
        <w:t>Waffen, Munition, Sp</w:t>
      </w:r>
      <w:r w:rsidR="00DD7B87" w:rsidRPr="003466B5">
        <w:rPr>
          <w:rStyle w:val="EditorischerEingriff"/>
        </w:rPr>
        <w:t>r</w:t>
      </w:r>
      <w:r w:rsidRPr="003466B5">
        <w:rPr>
          <w:rStyle w:val="EditorischerEingriff"/>
        </w:rPr>
        <w:t>engstoffen und Tauben</w:t>
      </w:r>
      <w:r w:rsidR="005F0F4F" w:rsidRPr="003466B5">
        <w:rPr>
          <w:rStyle w:val="EditorischerEingriff"/>
        </w:rPr>
        <w:t>, so wie es im Orientierungsbehelf vorgesehen war</w:t>
      </w:r>
      <w:r w:rsidR="00BC006A" w:rsidRPr="003466B5">
        <w:rPr>
          <w:rStyle w:val="EditorischerEingriff"/>
        </w:rPr>
        <w:t>,</w:t>
      </w:r>
      <w:r w:rsidR="00DD7B87" w:rsidRPr="00DD7B87">
        <w:t xml:space="preserve"> </w:t>
      </w:r>
      <w:r w:rsidR="001C11A7" w:rsidRPr="007C504E">
        <w:rPr>
          <w:rStyle w:val="Kapitlchen"/>
        </w:rPr>
        <w:t>Rgbl</w:t>
      </w:r>
      <w:r w:rsidR="00DD7B87" w:rsidRPr="003466B5">
        <w:rPr>
          <w:rStyle w:val="Buchtitel"/>
        </w:rPr>
        <w:t xml:space="preserve">. </w:t>
      </w:r>
      <w:r w:rsidR="001C11A7" w:rsidRPr="003466B5">
        <w:rPr>
          <w:rStyle w:val="Buchtitel"/>
        </w:rPr>
        <w:t>Nr. 160</w:t>
      </w:r>
      <w:r w:rsidR="00DD7B87" w:rsidRPr="003466B5">
        <w:rPr>
          <w:rStyle w:val="Buchtitel"/>
        </w:rPr>
        <w:t>/1914</w:t>
      </w:r>
      <w:r w:rsidR="00DD7B87">
        <w:t>.</w:t>
      </w:r>
      <w:r w:rsidR="005F0F4F">
        <w:t xml:space="preserve"> </w:t>
      </w:r>
      <w:r w:rsidR="005F0F4F" w:rsidRPr="007C504E">
        <w:rPr>
          <w:rStyle w:val="Kapitlchen"/>
        </w:rPr>
        <w:t>Orientierungsbehelf</w:t>
      </w:r>
      <w:r w:rsidR="005F0F4F" w:rsidRPr="003466B5">
        <w:rPr>
          <w:rStyle w:val="Buchtitel"/>
        </w:rPr>
        <w:t>, 101–108</w:t>
      </w:r>
      <w:r w:rsidR="005F0F4F" w:rsidRPr="005F0F4F">
        <w:t>.</w:t>
      </w:r>
    </w:p>
  </w:footnote>
  <w:footnote w:id="16">
    <w:p w:rsidR="00D33DE0" w:rsidRPr="00C023B8" w:rsidRDefault="00D33DE0" w:rsidP="00D33DE0">
      <w:pPr>
        <w:pStyle w:val="Funotentext"/>
      </w:pPr>
      <w:r w:rsidRPr="00CE7B09">
        <w:rPr>
          <w:rStyle w:val="Funotenzeichen"/>
        </w:rPr>
        <w:footnoteRef/>
      </w:r>
      <w:r>
        <w:t xml:space="preserve"> </w:t>
      </w:r>
      <w:r w:rsidRPr="003466B5">
        <w:rPr>
          <w:rStyle w:val="EditorischerEingriff"/>
        </w:rPr>
        <w:t>Beschränkt werden sollte die Einfuhr von</w:t>
      </w:r>
      <w:r>
        <w:t xml:space="preserve"> </w:t>
      </w:r>
      <w:r w:rsidRPr="003466B5">
        <w:rPr>
          <w:rStyle w:val="EditorischerEingriff"/>
        </w:rPr>
        <w:t xml:space="preserve">Artikeln wie unter 16., sowie weiterer Artikel wie Leder, Baracken und Transportmittel, </w:t>
      </w:r>
      <w:r w:rsidR="001C11A7" w:rsidRPr="007C504E">
        <w:rPr>
          <w:rStyle w:val="Kapitlchen"/>
        </w:rPr>
        <w:t>Rgbl</w:t>
      </w:r>
      <w:r w:rsidRPr="003466B5">
        <w:rPr>
          <w:rStyle w:val="Buchtitel"/>
        </w:rPr>
        <w:t>. Nr. 169/1914</w:t>
      </w:r>
      <w:r>
        <w:t>.</w:t>
      </w:r>
    </w:p>
  </w:footnote>
  <w:footnote w:id="17">
    <w:p w:rsidR="00D33DE0" w:rsidRDefault="00D33DE0" w:rsidP="00D33DE0">
      <w:pPr>
        <w:pStyle w:val="Funotentext"/>
      </w:pPr>
      <w:r w:rsidRPr="00CE7B09">
        <w:rPr>
          <w:rStyle w:val="Funotenzeichen"/>
        </w:rPr>
        <w:footnoteRef/>
      </w:r>
      <w:r>
        <w:t xml:space="preserve"> </w:t>
      </w:r>
      <w:r w:rsidRPr="003466B5">
        <w:rPr>
          <w:rStyle w:val="EditorischerEingriff"/>
        </w:rPr>
        <w:t>Die 17 Ausnahmebestimmungen wurden von</w:t>
      </w:r>
      <w:r>
        <w:t xml:space="preserve"> </w:t>
      </w:r>
      <w:r w:rsidRPr="003466B5">
        <w:rPr>
          <w:rStyle w:val="EditorischerEingriff"/>
        </w:rPr>
        <w:t>Heinold mit einem einzigen Vortrag v. 23. 7. 1914</w:t>
      </w:r>
      <w:r>
        <w:t xml:space="preserve"> </w:t>
      </w:r>
      <w:r w:rsidRPr="003466B5">
        <w:rPr>
          <w:rStyle w:val="EditorischerEingriff"/>
        </w:rPr>
        <w:t>vorgelegt</w:t>
      </w:r>
      <w:r>
        <w:t xml:space="preserve">. </w:t>
      </w:r>
      <w:r w:rsidRPr="003466B5">
        <w:rPr>
          <w:rStyle w:val="EditorischerEingriff"/>
        </w:rPr>
        <w:t>Die Ah. E. erfolgte ebenfalls en bloc am</w:t>
      </w:r>
      <w:r w:rsidRPr="00625ECB">
        <w:t xml:space="preserve"> 24. 7. 1914, </w:t>
      </w:r>
      <w:r w:rsidR="00C70B1B" w:rsidRPr="007C504E">
        <w:rPr>
          <w:rStyle w:val="Kapitlchen"/>
        </w:rPr>
        <w:t>Hhsta</w:t>
      </w:r>
      <w:r w:rsidRPr="003466B5">
        <w:rPr>
          <w:rStyle w:val="Buchtitel"/>
        </w:rPr>
        <w:t>., Kab. Kanzlei, KZ. 1850/1914</w:t>
      </w:r>
      <w:r w:rsidRPr="00C75EED">
        <w:t>.</w:t>
      </w:r>
      <w:r w:rsidRPr="00625ECB">
        <w:t xml:space="preserve"> </w:t>
      </w:r>
      <w:r w:rsidRPr="003466B5">
        <w:rPr>
          <w:rStyle w:val="EditorischerEingriff"/>
        </w:rPr>
        <w:t xml:space="preserve">Parallel wurden in Ungarn ebenfalls ähnliche Verordnungen mit Vortrag Tiszas v. 24. 7. 1914 erlassen. Beide Verordnungsbündel wurden mit Datum v. 25. 7. 1914 am Folgetag publiziert. </w:t>
      </w:r>
      <w:r w:rsidR="00C70B1B" w:rsidRPr="007C504E">
        <w:rPr>
          <w:rStyle w:val="Kapitlchen"/>
        </w:rPr>
        <w:t>Hhsta</w:t>
      </w:r>
      <w:r w:rsidRPr="003466B5">
        <w:rPr>
          <w:rStyle w:val="Buchtitel"/>
        </w:rPr>
        <w:t>., Kab. Kanzlei, KZ. 1851/1914</w:t>
      </w:r>
      <w:r w:rsidRPr="006516D4">
        <w:t>.</w:t>
      </w:r>
    </w:p>
    <w:p w:rsidR="00D33DE0" w:rsidRPr="00195187" w:rsidRDefault="00D33DE0" w:rsidP="00D33DE0">
      <w:pPr>
        <w:pStyle w:val="Funotentext"/>
      </w:pPr>
      <w:r>
        <w:t xml:space="preserve">1. </w:t>
      </w:r>
      <w:r w:rsidR="001C11A7" w:rsidRPr="007C504E">
        <w:rPr>
          <w:rStyle w:val="Kapitlchen"/>
        </w:rPr>
        <w:t>Rgbl</w:t>
      </w:r>
      <w:r w:rsidRPr="003466B5">
        <w:rPr>
          <w:rStyle w:val="Buchtitel"/>
        </w:rPr>
        <w:t>. Nr. 153/1914, 2</w:t>
      </w:r>
      <w:r>
        <w:t xml:space="preserve">. </w:t>
      </w:r>
      <w:r w:rsidR="001C11A7" w:rsidRPr="007C504E">
        <w:rPr>
          <w:rStyle w:val="Kapitlchen"/>
        </w:rPr>
        <w:t>Rgbl</w:t>
      </w:r>
      <w:r w:rsidRPr="003466B5">
        <w:rPr>
          <w:rStyle w:val="Buchtitel"/>
        </w:rPr>
        <w:t>. Nr. 158/1914, 3</w:t>
      </w:r>
      <w:r>
        <w:t xml:space="preserve">. </w:t>
      </w:r>
      <w:r w:rsidR="001C11A7" w:rsidRPr="007C504E">
        <w:rPr>
          <w:rStyle w:val="Kapitlchen"/>
        </w:rPr>
        <w:t>Rgbl</w:t>
      </w:r>
      <w:r w:rsidRPr="003466B5">
        <w:rPr>
          <w:rStyle w:val="Buchtitel"/>
        </w:rPr>
        <w:t>. Nr. 159/1914, 4</w:t>
      </w:r>
      <w:r>
        <w:t xml:space="preserve">. </w:t>
      </w:r>
      <w:r w:rsidR="001C11A7" w:rsidRPr="007C504E">
        <w:rPr>
          <w:rStyle w:val="Kapitlchen"/>
        </w:rPr>
        <w:t>Rgbl</w:t>
      </w:r>
      <w:r w:rsidRPr="003466B5">
        <w:rPr>
          <w:rStyle w:val="Buchtitel"/>
        </w:rPr>
        <w:t>. Nr. 166/1914, 5</w:t>
      </w:r>
      <w:r>
        <w:t xml:space="preserve">. </w:t>
      </w:r>
      <w:r w:rsidR="001C11A7" w:rsidRPr="007C504E">
        <w:rPr>
          <w:rStyle w:val="Kapitlchen"/>
        </w:rPr>
        <w:t>Rgbl</w:t>
      </w:r>
      <w:r w:rsidRPr="003466B5">
        <w:rPr>
          <w:rStyle w:val="Buchtitel"/>
        </w:rPr>
        <w:t>. Nr. 160/1914, 6</w:t>
      </w:r>
      <w:r>
        <w:t xml:space="preserve">. </w:t>
      </w:r>
      <w:r w:rsidR="001C11A7" w:rsidRPr="007C504E">
        <w:rPr>
          <w:rStyle w:val="Kapitlchen"/>
        </w:rPr>
        <w:t>Rgbl</w:t>
      </w:r>
      <w:r w:rsidRPr="003466B5">
        <w:rPr>
          <w:rStyle w:val="Buchtitel"/>
        </w:rPr>
        <w:t>. Nr. 154/1914, 7. Nr. 155/1914, 8. Nr. 163/1914, 9. Nr. 164/1914, 10. Nr. 156/1914, 11. Nr. 157/</w:t>
      </w:r>
      <w:proofErr w:type="gramStart"/>
      <w:r w:rsidRPr="003466B5">
        <w:rPr>
          <w:rStyle w:val="Buchtitel"/>
        </w:rPr>
        <w:t>1914,  12.</w:t>
      </w:r>
      <w:proofErr w:type="gramEnd"/>
      <w:r w:rsidRPr="003466B5">
        <w:rPr>
          <w:rStyle w:val="Buchtitel"/>
        </w:rPr>
        <w:t xml:space="preserve"> Nr. 165/1914, 13. Nr. 161/1914, 14. Nr. 162/1914, 15. Nr. 167/1914, 16. </w:t>
      </w:r>
      <w:r w:rsidR="001C11A7" w:rsidRPr="003466B5">
        <w:rPr>
          <w:rStyle w:val="Buchtitel"/>
        </w:rPr>
        <w:t>Nr. 168</w:t>
      </w:r>
      <w:r w:rsidRPr="003466B5">
        <w:rPr>
          <w:rStyle w:val="Buchtitel"/>
        </w:rPr>
        <w:t>/1914, 17. Nr. 169/1914</w:t>
      </w:r>
      <w:r>
        <w:t>.</w:t>
      </w:r>
    </w:p>
  </w:footnote>
  <w:footnote w:id="18">
    <w:p w:rsidR="00BC006A" w:rsidRPr="00BC006A" w:rsidRDefault="00BC006A">
      <w:pPr>
        <w:pStyle w:val="Funotentext"/>
      </w:pPr>
      <w:r w:rsidRPr="00CE7B09">
        <w:rPr>
          <w:rStyle w:val="Funotenzeichen"/>
        </w:rPr>
        <w:footnoteRef/>
      </w:r>
      <w:r>
        <w:t xml:space="preserve"> </w:t>
      </w:r>
      <w:r w:rsidRPr="003466B5">
        <w:rPr>
          <w:rStyle w:val="EditorischerEingriff"/>
        </w:rPr>
        <w:t xml:space="preserve">Siehe </w:t>
      </w:r>
      <w:r w:rsidR="007677AC" w:rsidRPr="003466B5">
        <w:rPr>
          <w:rStyle w:val="EditorischerEingriff"/>
        </w:rPr>
        <w:t>Kommentar zu Punkt IV</w:t>
      </w:r>
      <w:r w:rsidRPr="003466B5">
        <w:rPr>
          <w:rStyle w:val="EditorischerEingriff"/>
        </w:rPr>
        <w:t>.</w:t>
      </w:r>
    </w:p>
  </w:footnote>
  <w:footnote w:id="19">
    <w:p w:rsidR="00BC006A" w:rsidRPr="003466B5" w:rsidRDefault="00BC006A">
      <w:pPr>
        <w:pStyle w:val="Funotentext"/>
        <w:rPr>
          <w:rStyle w:val="EditorischerEingriff"/>
        </w:rPr>
      </w:pPr>
      <w:r w:rsidRPr="00CE7B09">
        <w:rPr>
          <w:rStyle w:val="Funotenzeichen"/>
        </w:rPr>
        <w:footnoteRef/>
      </w:r>
      <w:r w:rsidRPr="00195187">
        <w:t xml:space="preserve"> </w:t>
      </w:r>
      <w:r w:rsidR="001C11A7" w:rsidRPr="007C504E">
        <w:rPr>
          <w:rStyle w:val="Kapitlchen"/>
        </w:rPr>
        <w:t>Rgbl</w:t>
      </w:r>
      <w:r w:rsidRPr="003466B5">
        <w:rPr>
          <w:rStyle w:val="Buchtitel"/>
        </w:rPr>
        <w:t xml:space="preserve">. Nr. </w:t>
      </w:r>
      <w:r w:rsidR="00BD0387" w:rsidRPr="003466B5">
        <w:rPr>
          <w:rStyle w:val="Buchtitel"/>
        </w:rPr>
        <w:t>236/1912</w:t>
      </w:r>
      <w:r w:rsidR="00BD0387" w:rsidRPr="003466B5">
        <w:rPr>
          <w:rStyle w:val="EditorischerEingriff"/>
        </w:rPr>
        <w:t>.</w:t>
      </w:r>
      <w:r w:rsidR="00195187" w:rsidRPr="003466B5">
        <w:rPr>
          <w:rStyle w:val="EditorischerEingriff"/>
        </w:rPr>
        <w:t xml:space="preserve"> Nach diesem Gesetz konnten von </w:t>
      </w:r>
      <w:r w:rsidR="00B90298" w:rsidRPr="003466B5">
        <w:rPr>
          <w:rStyle w:val="EditorischerEingriff"/>
        </w:rPr>
        <w:t>Privatpersonen</w:t>
      </w:r>
      <w:r w:rsidR="00195187" w:rsidRPr="003466B5">
        <w:rPr>
          <w:rStyle w:val="EditorischerEingriff"/>
        </w:rPr>
        <w:t xml:space="preserve"> unter bestimmten Umständen und gegen Vergütung Arbeitsdienste verlangt werden und ebenso die Überlassung von Transportmitteln und Tauben, sowie die Einquartierung und Verpflegung von Personen und von Vieh.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3F7D" w:rsidRPr="00F73F7D" w:rsidRDefault="00F73F7D" w:rsidP="00F73F7D">
    <w:pPr>
      <w:pStyle w:val="Seitenberschrift"/>
    </w:pPr>
    <w:r w:rsidRPr="00F73F7D">
      <w:t>Nr. 1</w:t>
    </w:r>
    <w:r>
      <w:t xml:space="preserve">, </w:t>
    </w:r>
    <w:r w:rsidRPr="00F73F7D">
      <w:t>Ministerrat, Wien, 23. Juli 1914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1A43E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A7682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FCA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2E083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B46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F2260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2C2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183E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E882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3EC8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C04"/>
    <w:multiLevelType w:val="hybridMultilevel"/>
    <w:tmpl w:val="AF248A30"/>
    <w:lvl w:ilvl="0" w:tplc="CE3C61C8">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CA00698"/>
    <w:multiLevelType w:val="hybridMultilevel"/>
    <w:tmpl w:val="9B581718"/>
    <w:lvl w:ilvl="0" w:tplc="C10C9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713826"/>
    <w:multiLevelType w:val="hybridMultilevel"/>
    <w:tmpl w:val="F8020D24"/>
    <w:lvl w:ilvl="0" w:tplc="2BD4D2C2">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B2C3DD8"/>
    <w:multiLevelType w:val="hybridMultilevel"/>
    <w:tmpl w:val="55946EDC"/>
    <w:lvl w:ilvl="0" w:tplc="B24450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E5301E"/>
    <w:multiLevelType w:val="hybridMultilevel"/>
    <w:tmpl w:val="739CC384"/>
    <w:lvl w:ilvl="0" w:tplc="40C65E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5D5E15"/>
    <w:multiLevelType w:val="hybridMultilevel"/>
    <w:tmpl w:val="1582826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15"/>
  </w:num>
  <w:num w:numId="2">
    <w:abstractNumId w:val="11"/>
  </w:num>
  <w:num w:numId="3">
    <w:abstractNumId w:val="13"/>
  </w:num>
  <w:num w:numId="4">
    <w:abstractNumId w:val="14"/>
  </w:num>
  <w:num w:numId="5">
    <w:abstractNumId w:val="10"/>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0"/>
  <w:proofState w:spelling="clean" w:grammar="clean"/>
  <w:attachedTemplate r:id="rId1"/>
  <w:linkStyles/>
  <w:defaultTabStop w:val="708"/>
  <w:hyphenationZone w:val="425"/>
  <w:characterSpacingControl w:val="doNotCompress"/>
  <w:hdrShapeDefaults>
    <o:shapedefaults v:ext="edit" spidmax="2049"/>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F8A"/>
    <w:rsid w:val="0002724B"/>
    <w:rsid w:val="00037BE5"/>
    <w:rsid w:val="0004072B"/>
    <w:rsid w:val="000515D2"/>
    <w:rsid w:val="00052DE9"/>
    <w:rsid w:val="0008703A"/>
    <w:rsid w:val="000A1DC5"/>
    <w:rsid w:val="000A1E5C"/>
    <w:rsid w:val="000B61C8"/>
    <w:rsid w:val="000C1075"/>
    <w:rsid w:val="000D6504"/>
    <w:rsid w:val="000E5E5E"/>
    <w:rsid w:val="00116332"/>
    <w:rsid w:val="0013486A"/>
    <w:rsid w:val="001644A8"/>
    <w:rsid w:val="0017281B"/>
    <w:rsid w:val="00192A20"/>
    <w:rsid w:val="00195187"/>
    <w:rsid w:val="001C11A7"/>
    <w:rsid w:val="002027B0"/>
    <w:rsid w:val="00205B31"/>
    <w:rsid w:val="00216F78"/>
    <w:rsid w:val="00230499"/>
    <w:rsid w:val="00253C0D"/>
    <w:rsid w:val="002720E6"/>
    <w:rsid w:val="002805E3"/>
    <w:rsid w:val="00285686"/>
    <w:rsid w:val="00296DC1"/>
    <w:rsid w:val="00296F68"/>
    <w:rsid w:val="00297C83"/>
    <w:rsid w:val="002A0D4E"/>
    <w:rsid w:val="002E14E9"/>
    <w:rsid w:val="002F6E29"/>
    <w:rsid w:val="00306F8A"/>
    <w:rsid w:val="003139F7"/>
    <w:rsid w:val="00333F01"/>
    <w:rsid w:val="003463C8"/>
    <w:rsid w:val="003466B5"/>
    <w:rsid w:val="003473DC"/>
    <w:rsid w:val="00361A23"/>
    <w:rsid w:val="003769C8"/>
    <w:rsid w:val="00382583"/>
    <w:rsid w:val="00391B3C"/>
    <w:rsid w:val="003A1D1A"/>
    <w:rsid w:val="003A3E6B"/>
    <w:rsid w:val="003B1257"/>
    <w:rsid w:val="003C5570"/>
    <w:rsid w:val="003F52CD"/>
    <w:rsid w:val="004067C4"/>
    <w:rsid w:val="00411C11"/>
    <w:rsid w:val="00463526"/>
    <w:rsid w:val="004C7359"/>
    <w:rsid w:val="00516B2F"/>
    <w:rsid w:val="005226C2"/>
    <w:rsid w:val="00525E5F"/>
    <w:rsid w:val="00526F8A"/>
    <w:rsid w:val="005704B7"/>
    <w:rsid w:val="00573E9D"/>
    <w:rsid w:val="005868E2"/>
    <w:rsid w:val="005A467A"/>
    <w:rsid w:val="005A4D94"/>
    <w:rsid w:val="005B146D"/>
    <w:rsid w:val="005D5240"/>
    <w:rsid w:val="005F0F4F"/>
    <w:rsid w:val="005F5839"/>
    <w:rsid w:val="00624FDE"/>
    <w:rsid w:val="00625ECB"/>
    <w:rsid w:val="006267B6"/>
    <w:rsid w:val="006516D4"/>
    <w:rsid w:val="00681F19"/>
    <w:rsid w:val="00684BFB"/>
    <w:rsid w:val="00693EAB"/>
    <w:rsid w:val="006A593C"/>
    <w:rsid w:val="006E5E3A"/>
    <w:rsid w:val="00725C0F"/>
    <w:rsid w:val="00737759"/>
    <w:rsid w:val="00737D41"/>
    <w:rsid w:val="00747607"/>
    <w:rsid w:val="007677AC"/>
    <w:rsid w:val="007C504E"/>
    <w:rsid w:val="00846DB9"/>
    <w:rsid w:val="00860964"/>
    <w:rsid w:val="008726B2"/>
    <w:rsid w:val="00875C92"/>
    <w:rsid w:val="008A0055"/>
    <w:rsid w:val="008C627E"/>
    <w:rsid w:val="008D0A39"/>
    <w:rsid w:val="008D4D86"/>
    <w:rsid w:val="008E6C50"/>
    <w:rsid w:val="00912C93"/>
    <w:rsid w:val="009254A2"/>
    <w:rsid w:val="00971A9C"/>
    <w:rsid w:val="009859F3"/>
    <w:rsid w:val="009A4F6B"/>
    <w:rsid w:val="009B66C6"/>
    <w:rsid w:val="009D1573"/>
    <w:rsid w:val="009E3F49"/>
    <w:rsid w:val="00A20AE4"/>
    <w:rsid w:val="00A24810"/>
    <w:rsid w:val="00A5131A"/>
    <w:rsid w:val="00A63D21"/>
    <w:rsid w:val="00A67057"/>
    <w:rsid w:val="00A97464"/>
    <w:rsid w:val="00AA5ADE"/>
    <w:rsid w:val="00AC6A4D"/>
    <w:rsid w:val="00AD70F0"/>
    <w:rsid w:val="00AF310F"/>
    <w:rsid w:val="00B04676"/>
    <w:rsid w:val="00B20D6E"/>
    <w:rsid w:val="00B24E5A"/>
    <w:rsid w:val="00B36418"/>
    <w:rsid w:val="00B45355"/>
    <w:rsid w:val="00B564C6"/>
    <w:rsid w:val="00B90298"/>
    <w:rsid w:val="00BC006A"/>
    <w:rsid w:val="00BD0387"/>
    <w:rsid w:val="00BD427D"/>
    <w:rsid w:val="00BE5F98"/>
    <w:rsid w:val="00BF5D1D"/>
    <w:rsid w:val="00C023B8"/>
    <w:rsid w:val="00C6104A"/>
    <w:rsid w:val="00C673BE"/>
    <w:rsid w:val="00C70B1B"/>
    <w:rsid w:val="00C75EED"/>
    <w:rsid w:val="00CA4BAC"/>
    <w:rsid w:val="00CC425D"/>
    <w:rsid w:val="00CD6A81"/>
    <w:rsid w:val="00CD7141"/>
    <w:rsid w:val="00CE4F71"/>
    <w:rsid w:val="00CE7B09"/>
    <w:rsid w:val="00D01ABD"/>
    <w:rsid w:val="00D33DE0"/>
    <w:rsid w:val="00D46F8D"/>
    <w:rsid w:val="00D8769B"/>
    <w:rsid w:val="00DD7435"/>
    <w:rsid w:val="00DD7B87"/>
    <w:rsid w:val="00DF0588"/>
    <w:rsid w:val="00E24DC2"/>
    <w:rsid w:val="00E30EDC"/>
    <w:rsid w:val="00E33A20"/>
    <w:rsid w:val="00E40011"/>
    <w:rsid w:val="00E43E6B"/>
    <w:rsid w:val="00E65E68"/>
    <w:rsid w:val="00E775DB"/>
    <w:rsid w:val="00E82273"/>
    <w:rsid w:val="00EA0EC8"/>
    <w:rsid w:val="00EA197D"/>
    <w:rsid w:val="00EB6EFD"/>
    <w:rsid w:val="00EE1A5B"/>
    <w:rsid w:val="00F0585B"/>
    <w:rsid w:val="00F212E0"/>
    <w:rsid w:val="00F216A1"/>
    <w:rsid w:val="00F6594F"/>
    <w:rsid w:val="00F73F7D"/>
    <w:rsid w:val="00F8070A"/>
    <w:rsid w:val="00FA1E84"/>
    <w:rsid w:val="00FC1BE1"/>
    <w:rsid w:val="00FE56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44626"/>
  <w15:docId w15:val="{51E41BB8-FD88-4C83-A454-216FDD61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98" w:qFormat="1"/>
    <w:lsdException w:name="heading 1" w:uiPriority="98" w:qFormat="1"/>
    <w:lsdException w:name="heading 2" w:semiHidden="1" w:uiPriority="98"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5"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98"/>
    <w:qFormat/>
    <w:rsid w:val="007C504E"/>
    <w:pPr>
      <w:spacing w:after="160" w:line="259" w:lineRule="auto"/>
    </w:pPr>
    <w:rPr>
      <w:rFonts w:eastAsiaTheme="minorEastAsia"/>
      <w:lang w:val="en-US"/>
    </w:rPr>
  </w:style>
  <w:style w:type="paragraph" w:styleId="berschrift1">
    <w:name w:val="heading 1"/>
    <w:basedOn w:val="Standard"/>
    <w:next w:val="Standard"/>
    <w:link w:val="berschrift1Zchn"/>
    <w:uiPriority w:val="98"/>
    <w:unhideWhenUsed/>
    <w:rsid w:val="007C504E"/>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berschrift2">
    <w:name w:val="heading 2"/>
    <w:basedOn w:val="Standard"/>
    <w:next w:val="Standard"/>
    <w:link w:val="berschrift2Zchn"/>
    <w:uiPriority w:val="98"/>
    <w:unhideWhenUsed/>
    <w:rsid w:val="007C504E"/>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berschrift3">
    <w:name w:val="heading 3"/>
    <w:basedOn w:val="Standard"/>
    <w:next w:val="Standard"/>
    <w:link w:val="berschrift3Zchn"/>
    <w:uiPriority w:val="9"/>
    <w:semiHidden/>
    <w:unhideWhenUsed/>
    <w:rsid w:val="007C504E"/>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berschrift4">
    <w:name w:val="heading 4"/>
    <w:basedOn w:val="Standard"/>
    <w:next w:val="Standard"/>
    <w:link w:val="berschrift4Zchn"/>
    <w:uiPriority w:val="9"/>
    <w:semiHidden/>
    <w:unhideWhenUsed/>
    <w:qFormat/>
    <w:rsid w:val="007C504E"/>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berschrift5">
    <w:name w:val="heading 5"/>
    <w:basedOn w:val="Standard"/>
    <w:next w:val="Standard"/>
    <w:link w:val="berschrift5Zchn"/>
    <w:uiPriority w:val="9"/>
    <w:semiHidden/>
    <w:unhideWhenUsed/>
    <w:qFormat/>
    <w:rsid w:val="007C504E"/>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berschrift6">
    <w:name w:val="heading 6"/>
    <w:basedOn w:val="Standard"/>
    <w:next w:val="Standard"/>
    <w:link w:val="berschrift6Zchn"/>
    <w:uiPriority w:val="9"/>
    <w:semiHidden/>
    <w:unhideWhenUsed/>
    <w:qFormat/>
    <w:rsid w:val="007C504E"/>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berschrift7">
    <w:name w:val="heading 7"/>
    <w:basedOn w:val="Standard"/>
    <w:next w:val="Standard"/>
    <w:link w:val="berschrift7Zchn"/>
    <w:uiPriority w:val="9"/>
    <w:semiHidden/>
    <w:unhideWhenUsed/>
    <w:qFormat/>
    <w:rsid w:val="007C504E"/>
    <w:pPr>
      <w:keepNext/>
      <w:keepLines/>
      <w:spacing w:before="40" w:after="0"/>
      <w:outlineLvl w:val="6"/>
    </w:pPr>
    <w:rPr>
      <w:rFonts w:asciiTheme="majorHAnsi" w:eastAsiaTheme="majorEastAsia" w:hAnsiTheme="majorHAnsi" w:cstheme="majorBidi"/>
      <w:color w:val="244061" w:themeColor="accent1" w:themeShade="80"/>
    </w:rPr>
  </w:style>
  <w:style w:type="paragraph" w:styleId="berschrift8">
    <w:name w:val="heading 8"/>
    <w:basedOn w:val="Standard"/>
    <w:next w:val="Standard"/>
    <w:link w:val="berschrift8Zchn"/>
    <w:uiPriority w:val="9"/>
    <w:semiHidden/>
    <w:unhideWhenUsed/>
    <w:qFormat/>
    <w:rsid w:val="007C504E"/>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berschrift9">
    <w:name w:val="heading 9"/>
    <w:basedOn w:val="Standard"/>
    <w:next w:val="Standard"/>
    <w:link w:val="berschrift9Zchn"/>
    <w:uiPriority w:val="9"/>
    <w:semiHidden/>
    <w:unhideWhenUsed/>
    <w:qFormat/>
    <w:rsid w:val="007C504E"/>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Absatz-Standardschriftart">
    <w:name w:val="Default Paragraph Font"/>
    <w:uiPriority w:val="1"/>
    <w:unhideWhenUsed/>
    <w:rsid w:val="007C504E"/>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7C504E"/>
  </w:style>
  <w:style w:type="paragraph" w:styleId="Listenabsatz">
    <w:name w:val="List Paragraph"/>
    <w:basedOn w:val="Standard"/>
    <w:uiPriority w:val="34"/>
    <w:unhideWhenUsed/>
    <w:qFormat/>
    <w:rsid w:val="007C504E"/>
    <w:pPr>
      <w:ind w:left="720"/>
      <w:contextualSpacing/>
    </w:pPr>
  </w:style>
  <w:style w:type="paragraph" w:styleId="Kopfzeile">
    <w:name w:val="header"/>
    <w:basedOn w:val="Standard"/>
    <w:link w:val="KopfzeileZchn"/>
    <w:uiPriority w:val="99"/>
    <w:unhideWhenUsed/>
    <w:rsid w:val="003B125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1257"/>
    <w:rPr>
      <w:lang w:val="de-AT"/>
    </w:rPr>
  </w:style>
  <w:style w:type="paragraph" w:styleId="Fuzeile">
    <w:name w:val="footer"/>
    <w:basedOn w:val="Standard"/>
    <w:link w:val="FuzeileZchn"/>
    <w:uiPriority w:val="99"/>
    <w:unhideWhenUsed/>
    <w:rsid w:val="003B125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1257"/>
    <w:rPr>
      <w:lang w:val="de-AT"/>
    </w:rPr>
  </w:style>
  <w:style w:type="paragraph" w:styleId="Sprechblasentext">
    <w:name w:val="Balloon Text"/>
    <w:basedOn w:val="Standard"/>
    <w:link w:val="SprechblasentextZchn"/>
    <w:uiPriority w:val="99"/>
    <w:semiHidden/>
    <w:unhideWhenUsed/>
    <w:rsid w:val="007C504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C504E"/>
    <w:rPr>
      <w:rFonts w:ascii="Tahoma" w:eastAsiaTheme="minorEastAsia" w:hAnsi="Tahoma" w:cs="Tahoma"/>
      <w:sz w:val="16"/>
      <w:szCs w:val="16"/>
      <w:lang w:val="en-US"/>
    </w:rPr>
  </w:style>
  <w:style w:type="paragraph" w:styleId="Funotentext">
    <w:name w:val="footnote text"/>
    <w:basedOn w:val="Standard"/>
    <w:link w:val="FunotentextZchn"/>
    <w:uiPriority w:val="99"/>
    <w:unhideWhenUsed/>
    <w:qFormat/>
    <w:rsid w:val="007C504E"/>
    <w:pPr>
      <w:spacing w:after="0" w:line="240" w:lineRule="auto"/>
    </w:pPr>
    <w:rPr>
      <w:sz w:val="20"/>
      <w:szCs w:val="20"/>
      <w:lang w:val="de-DE"/>
    </w:rPr>
  </w:style>
  <w:style w:type="character" w:customStyle="1" w:styleId="FunotentextZchn">
    <w:name w:val="Fußnotentext Zchn"/>
    <w:basedOn w:val="Absatz-Standardschriftart"/>
    <w:link w:val="Funotentext"/>
    <w:uiPriority w:val="99"/>
    <w:rsid w:val="007C504E"/>
    <w:rPr>
      <w:rFonts w:eastAsiaTheme="minorEastAsia"/>
      <w:sz w:val="20"/>
      <w:szCs w:val="20"/>
    </w:rPr>
  </w:style>
  <w:style w:type="character" w:styleId="Funotenzeichen">
    <w:name w:val="footnote reference"/>
    <w:basedOn w:val="Absatz-Standardschriftart"/>
    <w:uiPriority w:val="99"/>
    <w:semiHidden/>
    <w:unhideWhenUsed/>
    <w:rsid w:val="007C504E"/>
    <w:rPr>
      <w:vertAlign w:val="superscript"/>
    </w:rPr>
  </w:style>
  <w:style w:type="character" w:styleId="Hyperlink">
    <w:name w:val="Hyperlink"/>
    <w:basedOn w:val="Absatz-Standardschriftart"/>
    <w:uiPriority w:val="99"/>
    <w:rsid w:val="007C504E"/>
    <w:rPr>
      <w:color w:val="0000FF"/>
      <w:u w:val="single"/>
    </w:rPr>
  </w:style>
  <w:style w:type="character" w:customStyle="1" w:styleId="swrd">
    <w:name w:val="s_wrd"/>
    <w:basedOn w:val="Absatz-Standardschriftart"/>
    <w:rsid w:val="00BC006A"/>
  </w:style>
  <w:style w:type="paragraph" w:styleId="Endnotentext">
    <w:name w:val="endnote text"/>
    <w:basedOn w:val="Standard"/>
    <w:link w:val="EndnotentextZchn"/>
    <w:uiPriority w:val="99"/>
    <w:qFormat/>
    <w:rsid w:val="007C504E"/>
    <w:pPr>
      <w:spacing w:after="0" w:line="240" w:lineRule="auto"/>
    </w:pPr>
    <w:rPr>
      <w:sz w:val="20"/>
      <w:szCs w:val="20"/>
      <w:lang w:val="de-DE"/>
    </w:rPr>
  </w:style>
  <w:style w:type="character" w:customStyle="1" w:styleId="EndnotentextZchn">
    <w:name w:val="Endnotentext Zchn"/>
    <w:basedOn w:val="Absatz-Standardschriftart"/>
    <w:link w:val="Endnotentext"/>
    <w:uiPriority w:val="99"/>
    <w:rsid w:val="007C504E"/>
    <w:rPr>
      <w:rFonts w:eastAsiaTheme="minorEastAsia"/>
      <w:sz w:val="20"/>
      <w:szCs w:val="20"/>
    </w:rPr>
  </w:style>
  <w:style w:type="character" w:styleId="Endnotenzeichen">
    <w:name w:val="endnote reference"/>
    <w:basedOn w:val="Absatz-Standardschriftart"/>
    <w:uiPriority w:val="99"/>
    <w:unhideWhenUsed/>
    <w:qFormat/>
    <w:rsid w:val="007C504E"/>
    <w:rPr>
      <w:i w:val="0"/>
      <w:color w:val="F79646" w:themeColor="accent6"/>
      <w:vertAlign w:val="superscript"/>
    </w:rPr>
  </w:style>
  <w:style w:type="paragraph" w:customStyle="1" w:styleId="Seitenberschrift">
    <w:name w:val="Seitenüberschrift"/>
    <w:basedOn w:val="Kopfzeile"/>
    <w:link w:val="SeitenberschriftZchn"/>
    <w:qFormat/>
    <w:rsid w:val="00F73F7D"/>
    <w:pPr>
      <w:jc w:val="center"/>
    </w:pPr>
    <w:rPr>
      <w:sz w:val="16"/>
      <w:szCs w:val="16"/>
    </w:rPr>
  </w:style>
  <w:style w:type="character" w:customStyle="1" w:styleId="SeitenberschriftZchn">
    <w:name w:val="Seitenüberschrift Zchn"/>
    <w:basedOn w:val="KopfzeileZchn"/>
    <w:link w:val="Seitenberschrift"/>
    <w:rsid w:val="00F73F7D"/>
    <w:rPr>
      <w:sz w:val="16"/>
      <w:szCs w:val="16"/>
      <w:lang w:val="de-AT"/>
    </w:rPr>
  </w:style>
  <w:style w:type="character" w:customStyle="1" w:styleId="berschrift1Zchn">
    <w:name w:val="Überschrift 1 Zchn"/>
    <w:basedOn w:val="Absatz-Standardschriftart"/>
    <w:link w:val="berschrift1"/>
    <w:uiPriority w:val="98"/>
    <w:rsid w:val="007C504E"/>
    <w:rPr>
      <w:rFonts w:asciiTheme="majorHAnsi" w:eastAsiaTheme="majorEastAsia" w:hAnsiTheme="majorHAnsi" w:cstheme="majorBidi"/>
      <w:color w:val="365F91" w:themeColor="accent1" w:themeShade="BF"/>
      <w:sz w:val="30"/>
      <w:szCs w:val="30"/>
      <w:lang w:val="en-US"/>
    </w:rPr>
  </w:style>
  <w:style w:type="character" w:customStyle="1" w:styleId="berschrift2Zchn">
    <w:name w:val="Überschrift 2 Zchn"/>
    <w:basedOn w:val="Absatz-Standardschriftart"/>
    <w:link w:val="berschrift2"/>
    <w:uiPriority w:val="98"/>
    <w:rsid w:val="007C504E"/>
    <w:rPr>
      <w:rFonts w:asciiTheme="majorHAnsi" w:eastAsiaTheme="majorEastAsia" w:hAnsiTheme="majorHAnsi" w:cstheme="majorBidi"/>
      <w:color w:val="943634" w:themeColor="accent2" w:themeShade="BF"/>
      <w:sz w:val="28"/>
      <w:szCs w:val="28"/>
      <w:lang w:val="en-US"/>
    </w:rPr>
  </w:style>
  <w:style w:type="character" w:customStyle="1" w:styleId="berschrift3Zchn">
    <w:name w:val="Überschrift 3 Zchn"/>
    <w:basedOn w:val="Absatz-Standardschriftart"/>
    <w:link w:val="berschrift3"/>
    <w:uiPriority w:val="9"/>
    <w:semiHidden/>
    <w:rsid w:val="007C504E"/>
    <w:rPr>
      <w:rFonts w:asciiTheme="majorHAnsi" w:eastAsiaTheme="majorEastAsia" w:hAnsiTheme="majorHAnsi" w:cstheme="majorBidi"/>
      <w:color w:val="E36C0A" w:themeColor="accent6" w:themeShade="BF"/>
      <w:sz w:val="26"/>
      <w:szCs w:val="26"/>
      <w:lang w:val="en-US"/>
    </w:rPr>
  </w:style>
  <w:style w:type="character" w:customStyle="1" w:styleId="berschrift4Zchn">
    <w:name w:val="Überschrift 4 Zchn"/>
    <w:basedOn w:val="Absatz-Standardschriftart"/>
    <w:link w:val="berschrift4"/>
    <w:uiPriority w:val="9"/>
    <w:semiHidden/>
    <w:rsid w:val="007C504E"/>
    <w:rPr>
      <w:rFonts w:asciiTheme="majorHAnsi" w:eastAsiaTheme="majorEastAsia" w:hAnsiTheme="majorHAnsi" w:cstheme="majorBidi"/>
      <w:i/>
      <w:iCs/>
      <w:color w:val="31849B" w:themeColor="accent5" w:themeShade="BF"/>
      <w:sz w:val="25"/>
      <w:szCs w:val="25"/>
      <w:lang w:val="en-US"/>
    </w:rPr>
  </w:style>
  <w:style w:type="character" w:customStyle="1" w:styleId="berschrift5Zchn">
    <w:name w:val="Überschrift 5 Zchn"/>
    <w:basedOn w:val="Absatz-Standardschriftart"/>
    <w:link w:val="berschrift5"/>
    <w:uiPriority w:val="9"/>
    <w:semiHidden/>
    <w:rsid w:val="007C504E"/>
    <w:rPr>
      <w:rFonts w:asciiTheme="majorHAnsi" w:eastAsiaTheme="majorEastAsia" w:hAnsiTheme="majorHAnsi" w:cstheme="majorBidi"/>
      <w:i/>
      <w:iCs/>
      <w:color w:val="632423" w:themeColor="accent2" w:themeShade="80"/>
      <w:sz w:val="24"/>
      <w:szCs w:val="24"/>
      <w:lang w:val="en-US"/>
    </w:rPr>
  </w:style>
  <w:style w:type="character" w:customStyle="1" w:styleId="berschrift6Zchn">
    <w:name w:val="Überschrift 6 Zchn"/>
    <w:basedOn w:val="Absatz-Standardschriftart"/>
    <w:link w:val="berschrift6"/>
    <w:uiPriority w:val="9"/>
    <w:semiHidden/>
    <w:rsid w:val="007C504E"/>
    <w:rPr>
      <w:rFonts w:asciiTheme="majorHAnsi" w:eastAsiaTheme="majorEastAsia" w:hAnsiTheme="majorHAnsi" w:cstheme="majorBidi"/>
      <w:i/>
      <w:iCs/>
      <w:color w:val="984806" w:themeColor="accent6" w:themeShade="80"/>
      <w:sz w:val="23"/>
      <w:szCs w:val="23"/>
      <w:lang w:val="en-US"/>
    </w:rPr>
  </w:style>
  <w:style w:type="character" w:customStyle="1" w:styleId="berschrift7Zchn">
    <w:name w:val="Überschrift 7 Zchn"/>
    <w:basedOn w:val="Absatz-Standardschriftart"/>
    <w:link w:val="berschrift7"/>
    <w:uiPriority w:val="9"/>
    <w:semiHidden/>
    <w:rsid w:val="007C504E"/>
    <w:rPr>
      <w:rFonts w:asciiTheme="majorHAnsi" w:eastAsiaTheme="majorEastAsia" w:hAnsiTheme="majorHAnsi" w:cstheme="majorBidi"/>
      <w:color w:val="244061" w:themeColor="accent1" w:themeShade="80"/>
      <w:lang w:val="en-US"/>
    </w:rPr>
  </w:style>
  <w:style w:type="character" w:customStyle="1" w:styleId="berschrift8Zchn">
    <w:name w:val="Überschrift 8 Zchn"/>
    <w:basedOn w:val="Absatz-Standardschriftart"/>
    <w:link w:val="berschrift8"/>
    <w:uiPriority w:val="9"/>
    <w:semiHidden/>
    <w:rsid w:val="007C504E"/>
    <w:rPr>
      <w:rFonts w:asciiTheme="majorHAnsi" w:eastAsiaTheme="majorEastAsia" w:hAnsiTheme="majorHAnsi" w:cstheme="majorBidi"/>
      <w:color w:val="632423" w:themeColor="accent2" w:themeShade="80"/>
      <w:sz w:val="21"/>
      <w:szCs w:val="21"/>
      <w:lang w:val="en-US"/>
    </w:rPr>
  </w:style>
  <w:style w:type="character" w:customStyle="1" w:styleId="berschrift9Zchn">
    <w:name w:val="Überschrift 9 Zchn"/>
    <w:basedOn w:val="Absatz-Standardschriftart"/>
    <w:link w:val="berschrift9"/>
    <w:uiPriority w:val="9"/>
    <w:semiHidden/>
    <w:rsid w:val="007C504E"/>
    <w:rPr>
      <w:rFonts w:asciiTheme="majorHAnsi" w:eastAsiaTheme="majorEastAsia" w:hAnsiTheme="majorHAnsi" w:cstheme="majorBidi"/>
      <w:color w:val="984806" w:themeColor="accent6" w:themeShade="80"/>
      <w:lang w:val="en-US"/>
    </w:rPr>
  </w:style>
  <w:style w:type="character" w:styleId="Platzhaltertext">
    <w:name w:val="Placeholder Text"/>
    <w:basedOn w:val="Absatz-Standardschriftart"/>
    <w:uiPriority w:val="99"/>
    <w:semiHidden/>
    <w:rsid w:val="007C504E"/>
    <w:rPr>
      <w:color w:val="808080"/>
    </w:rPr>
  </w:style>
  <w:style w:type="paragraph" w:customStyle="1" w:styleId="Kopfregest">
    <w:name w:val="Kopfregest"/>
    <w:basedOn w:val="Standard"/>
    <w:next w:val="Kopfregest-Namensliste"/>
    <w:uiPriority w:val="1"/>
    <w:rsid w:val="007C504E"/>
    <w:pPr>
      <w:spacing w:after="0" w:line="240" w:lineRule="auto"/>
    </w:pPr>
    <w:rPr>
      <w:rFonts w:cs="Times New Roman"/>
      <w:sz w:val="24"/>
      <w:szCs w:val="24"/>
      <w:lang w:val="de-DE"/>
    </w:rPr>
  </w:style>
  <w:style w:type="paragraph" w:customStyle="1" w:styleId="ProtokollAktenzahlen">
    <w:name w:val="ProtokollAktenzahlen"/>
    <w:basedOn w:val="Standard"/>
    <w:next w:val="berschriftSitzungMRP"/>
    <w:uiPriority w:val="1"/>
    <w:rsid w:val="007C504E"/>
    <w:pPr>
      <w:spacing w:after="120" w:line="240" w:lineRule="auto"/>
    </w:pPr>
    <w:rPr>
      <w:rFonts w:cs="Times New Roman"/>
      <w:sz w:val="24"/>
      <w:szCs w:val="24"/>
      <w:lang w:val="de-DE"/>
    </w:rPr>
  </w:style>
  <w:style w:type="paragraph" w:customStyle="1" w:styleId="berschriftSitzungMRP">
    <w:name w:val="ÜberschriftSitzungMRP"/>
    <w:basedOn w:val="Standard"/>
    <w:next w:val="Kopfregest"/>
    <w:rsid w:val="007C504E"/>
    <w:pPr>
      <w:outlineLvl w:val="0"/>
    </w:pPr>
    <w:rPr>
      <w:b/>
      <w:lang w:val="de-DE"/>
    </w:rPr>
  </w:style>
  <w:style w:type="paragraph" w:customStyle="1" w:styleId="Kopfregest-TObersicht">
    <w:name w:val="Kopfregest-TOÜbersicht"/>
    <w:basedOn w:val="Standard"/>
    <w:next w:val="ProtokollAktenzahlen"/>
    <w:uiPriority w:val="1"/>
    <w:rsid w:val="007C504E"/>
    <w:pPr>
      <w:spacing w:before="240" w:after="240" w:line="240" w:lineRule="auto"/>
      <w:ind w:left="720"/>
    </w:pPr>
    <w:rPr>
      <w:rFonts w:cs="Times New Roman"/>
      <w:sz w:val="24"/>
      <w:szCs w:val="24"/>
      <w:lang w:val="de-DE"/>
    </w:rPr>
  </w:style>
  <w:style w:type="paragraph" w:customStyle="1" w:styleId="Kopfregest-Namensliste">
    <w:name w:val="Kopfregest-Namensliste"/>
    <w:basedOn w:val="Kopfregest"/>
    <w:next w:val="Kopfregest-TObersicht"/>
    <w:uiPriority w:val="1"/>
    <w:qFormat/>
    <w:rsid w:val="007C504E"/>
    <w:pPr>
      <w:spacing w:before="120"/>
    </w:pPr>
    <w:rPr>
      <w:i/>
    </w:rPr>
  </w:style>
  <w:style w:type="paragraph" w:customStyle="1" w:styleId="ProtokollTOPAbsatz1">
    <w:name w:val="ProtokollTOPAbsatz1"/>
    <w:basedOn w:val="Standard"/>
    <w:next w:val="ProtokollTOPFortgesetzt"/>
    <w:link w:val="ProtokollTOPAbsatz1Zchn"/>
    <w:uiPriority w:val="2"/>
    <w:qFormat/>
    <w:rsid w:val="007C504E"/>
    <w:pPr>
      <w:spacing w:before="240" w:after="120" w:line="240" w:lineRule="auto"/>
      <w:outlineLvl w:val="1"/>
    </w:pPr>
    <w:rPr>
      <w:rFonts w:cs="Times New Roman"/>
      <w:sz w:val="24"/>
      <w:szCs w:val="24"/>
      <w:lang w:val="de-DE"/>
    </w:rPr>
  </w:style>
  <w:style w:type="paragraph" w:customStyle="1" w:styleId="ProtokollTOPFortgesetzt">
    <w:name w:val="ProtokollTOPFortgesetzt"/>
    <w:basedOn w:val="ProtokollTOPAbsatz1"/>
    <w:uiPriority w:val="2"/>
    <w:rsid w:val="007C504E"/>
    <w:pPr>
      <w:ind w:firstLine="357"/>
    </w:pPr>
  </w:style>
  <w:style w:type="character" w:customStyle="1" w:styleId="ProtokollTOPAbsatz1Zchn">
    <w:name w:val="ProtokollTOPAbsatz1 Zchn"/>
    <w:basedOn w:val="Absatz-Standardschriftart"/>
    <w:link w:val="ProtokollTOPAbsatz1"/>
    <w:uiPriority w:val="2"/>
    <w:rsid w:val="007C504E"/>
    <w:rPr>
      <w:rFonts w:eastAsiaTheme="minorEastAsia" w:cs="Times New Roman"/>
      <w:sz w:val="24"/>
      <w:szCs w:val="24"/>
    </w:rPr>
  </w:style>
  <w:style w:type="character" w:customStyle="1" w:styleId="SprechendePerson">
    <w:name w:val="SprechendePerson"/>
    <w:basedOn w:val="Absatz-Standardschriftart"/>
    <w:uiPriority w:val="5"/>
    <w:qFormat/>
    <w:rsid w:val="007C504E"/>
    <w:rPr>
      <w:color w:val="4F81BD" w:themeColor="accent1"/>
      <w:spacing w:val="24"/>
      <w:u w:val="single"/>
    </w:rPr>
  </w:style>
  <w:style w:type="character" w:customStyle="1" w:styleId="Institution">
    <w:name w:val="Institution"/>
    <w:basedOn w:val="Absatz-Standardschriftart"/>
    <w:uiPriority w:val="5"/>
    <w:rsid w:val="007C504E"/>
    <w:rPr>
      <w:color w:val="4F81BD" w:themeColor="accent1"/>
    </w:rPr>
  </w:style>
  <w:style w:type="character" w:customStyle="1" w:styleId="ErwhntePerson">
    <w:name w:val="ErwähntePerson"/>
    <w:basedOn w:val="Absatz-Standardschriftart"/>
    <w:uiPriority w:val="5"/>
    <w:rsid w:val="007C504E"/>
    <w:rPr>
      <w:color w:val="4F81BD" w:themeColor="accent1"/>
    </w:rPr>
  </w:style>
  <w:style w:type="paragraph" w:customStyle="1" w:styleId="ProtokollDatumUnterschrift">
    <w:name w:val="ProtokollDatumUnterschrift"/>
    <w:basedOn w:val="Standard"/>
    <w:next w:val="ProtokollAhE"/>
    <w:uiPriority w:val="3"/>
    <w:rsid w:val="007C504E"/>
    <w:pPr>
      <w:tabs>
        <w:tab w:val="left" w:pos="1160"/>
      </w:tabs>
      <w:spacing w:before="240" w:after="240" w:line="240" w:lineRule="auto"/>
    </w:pPr>
    <w:rPr>
      <w:rFonts w:cs="Times New Roman"/>
      <w:sz w:val="24"/>
      <w:szCs w:val="24"/>
      <w:lang w:val="de-DE"/>
    </w:rPr>
  </w:style>
  <w:style w:type="paragraph" w:customStyle="1" w:styleId="ProtokollAhE">
    <w:name w:val="ProtokollAh.E."/>
    <w:basedOn w:val="Standard"/>
    <w:next w:val="Standard"/>
    <w:uiPriority w:val="4"/>
    <w:rsid w:val="007C504E"/>
    <w:pPr>
      <w:spacing w:before="120" w:after="120" w:line="240" w:lineRule="auto"/>
    </w:pPr>
    <w:rPr>
      <w:rFonts w:cs="Times New Roman"/>
      <w:sz w:val="24"/>
      <w:szCs w:val="24"/>
      <w:lang w:val="de-DE"/>
    </w:rPr>
  </w:style>
  <w:style w:type="paragraph" w:styleId="Beschriftung">
    <w:name w:val="caption"/>
    <w:basedOn w:val="Standard"/>
    <w:next w:val="Standard"/>
    <w:uiPriority w:val="35"/>
    <w:semiHidden/>
    <w:unhideWhenUsed/>
    <w:qFormat/>
    <w:rsid w:val="007C504E"/>
    <w:pPr>
      <w:spacing w:line="240" w:lineRule="auto"/>
    </w:pPr>
    <w:rPr>
      <w:b/>
      <w:bCs/>
      <w:smallCaps/>
      <w:color w:val="4F81BD" w:themeColor="accent1"/>
      <w:spacing w:val="6"/>
    </w:rPr>
  </w:style>
  <w:style w:type="paragraph" w:styleId="Untertitel">
    <w:name w:val="Subtitle"/>
    <w:basedOn w:val="Standard"/>
    <w:next w:val="Standard"/>
    <w:link w:val="UntertitelZchn"/>
    <w:uiPriority w:val="11"/>
    <w:unhideWhenUsed/>
    <w:qFormat/>
    <w:rsid w:val="007C504E"/>
    <w:pPr>
      <w:numPr>
        <w:ilvl w:val="1"/>
      </w:numPr>
      <w:spacing w:line="240" w:lineRule="auto"/>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rsid w:val="007C504E"/>
    <w:rPr>
      <w:rFonts w:asciiTheme="majorHAnsi" w:eastAsiaTheme="majorEastAsia" w:hAnsiTheme="majorHAnsi" w:cstheme="majorBidi"/>
      <w:lang w:val="en-US"/>
    </w:rPr>
  </w:style>
  <w:style w:type="character" w:customStyle="1" w:styleId="Kapitlchen">
    <w:name w:val="Kapitälchen"/>
    <w:basedOn w:val="Absatz-Standardschriftart"/>
    <w:uiPriority w:val="10"/>
    <w:qFormat/>
    <w:rsid w:val="007C504E"/>
    <w:rPr>
      <w:smallCaps/>
      <w:color w:val="4F81BD" w:themeColor="accent1"/>
    </w:rPr>
  </w:style>
  <w:style w:type="paragraph" w:customStyle="1" w:styleId="Protokoll-berschrift">
    <w:name w:val="Protokoll-Überschrift"/>
    <w:basedOn w:val="Standard"/>
    <w:next w:val="ProtokollTOPAbsatz1"/>
    <w:uiPriority w:val="1"/>
    <w:qFormat/>
    <w:rsid w:val="007C504E"/>
    <w:pPr>
      <w:spacing w:after="120" w:line="240" w:lineRule="auto"/>
    </w:pPr>
    <w:rPr>
      <w:rFonts w:cs="Times New Roman"/>
      <w:sz w:val="24"/>
      <w:szCs w:val="24"/>
      <w:lang w:val="de-DE"/>
    </w:rPr>
  </w:style>
  <w:style w:type="character" w:styleId="Buchtitel">
    <w:name w:val="Book Title"/>
    <w:aliases w:val="Quellenbeleg"/>
    <w:basedOn w:val="Absatz-Standardschriftart"/>
    <w:uiPriority w:val="5"/>
    <w:qFormat/>
    <w:rsid w:val="007C504E"/>
    <w:rPr>
      <w:bCs/>
      <w:color w:val="4F81BD" w:themeColor="accent1"/>
    </w:rPr>
  </w:style>
  <w:style w:type="paragraph" w:styleId="Inhaltsverzeichnisberschrift">
    <w:name w:val="TOC Heading"/>
    <w:basedOn w:val="berschrift1"/>
    <w:next w:val="Standard"/>
    <w:uiPriority w:val="39"/>
    <w:semiHidden/>
    <w:unhideWhenUsed/>
    <w:qFormat/>
    <w:rsid w:val="007C504E"/>
    <w:pPr>
      <w:outlineLvl w:val="9"/>
    </w:pPr>
  </w:style>
  <w:style w:type="character" w:customStyle="1" w:styleId="Ortsname">
    <w:name w:val="Ortsname"/>
    <w:basedOn w:val="Absatz-Standardschriftart"/>
    <w:uiPriority w:val="5"/>
    <w:qFormat/>
    <w:rsid w:val="007C504E"/>
    <w:rPr>
      <w:color w:val="4F81BD" w:themeColor="accent1"/>
    </w:rPr>
  </w:style>
  <w:style w:type="character" w:styleId="Kommentarzeichen">
    <w:name w:val="annotation reference"/>
    <w:basedOn w:val="Absatz-Standardschriftart"/>
    <w:uiPriority w:val="99"/>
    <w:semiHidden/>
    <w:unhideWhenUsed/>
    <w:rsid w:val="007C504E"/>
    <w:rPr>
      <w:sz w:val="16"/>
      <w:szCs w:val="16"/>
    </w:rPr>
  </w:style>
  <w:style w:type="paragraph" w:styleId="Kommentartext">
    <w:name w:val="annotation text"/>
    <w:basedOn w:val="Standard"/>
    <w:link w:val="KommentartextZchn"/>
    <w:uiPriority w:val="99"/>
    <w:semiHidden/>
    <w:unhideWhenUsed/>
    <w:rsid w:val="007C504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C504E"/>
    <w:rPr>
      <w:rFonts w:eastAsiaTheme="minorEastAsia"/>
      <w:sz w:val="20"/>
      <w:szCs w:val="20"/>
      <w:lang w:val="en-US"/>
    </w:rPr>
  </w:style>
  <w:style w:type="paragraph" w:styleId="Kommentarthema">
    <w:name w:val="annotation subject"/>
    <w:basedOn w:val="Kommentartext"/>
    <w:next w:val="Kommentartext"/>
    <w:link w:val="KommentarthemaZchn"/>
    <w:uiPriority w:val="99"/>
    <w:semiHidden/>
    <w:unhideWhenUsed/>
    <w:rsid w:val="007C504E"/>
    <w:rPr>
      <w:b/>
      <w:bCs/>
    </w:rPr>
  </w:style>
  <w:style w:type="character" w:customStyle="1" w:styleId="KommentarthemaZchn">
    <w:name w:val="Kommentarthema Zchn"/>
    <w:basedOn w:val="KommentartextZchn"/>
    <w:link w:val="Kommentarthema"/>
    <w:uiPriority w:val="99"/>
    <w:semiHidden/>
    <w:rsid w:val="007C504E"/>
    <w:rPr>
      <w:rFonts w:eastAsiaTheme="minorEastAsia"/>
      <w:b/>
      <w:bCs/>
      <w:sz w:val="20"/>
      <w:szCs w:val="20"/>
      <w:lang w:val="en-US"/>
    </w:rPr>
  </w:style>
  <w:style w:type="character" w:customStyle="1" w:styleId="AnmerkungBuchstabenreferenzberMehrereWrter">
    <w:name w:val="AnmerkungBuchstabenreferenzÜberMehrereWörter"/>
    <w:basedOn w:val="Absatz-Standardschriftart"/>
    <w:uiPriority w:val="9"/>
    <w:qFormat/>
    <w:rsid w:val="007C504E"/>
    <w:rPr>
      <w:color w:val="E36C0A" w:themeColor="accent6" w:themeShade="BF"/>
    </w:rPr>
  </w:style>
  <w:style w:type="character" w:customStyle="1" w:styleId="EditorischerEingriff">
    <w:name w:val="EditorischerEingriff"/>
    <w:basedOn w:val="Absatz-Standardschriftart"/>
    <w:uiPriority w:val="9"/>
    <w:qFormat/>
    <w:rsid w:val="007C504E"/>
    <w:rPr>
      <w:i/>
      <w:lang w:val="de-DE"/>
    </w:rPr>
  </w:style>
  <w:style w:type="character" w:styleId="BesuchterLink">
    <w:name w:val="FollowedHyperlink"/>
    <w:basedOn w:val="Absatz-Standardschriftart"/>
    <w:uiPriority w:val="99"/>
    <w:semiHidden/>
    <w:unhideWhenUsed/>
    <w:rsid w:val="007C504E"/>
    <w:rPr>
      <w:color w:val="800080" w:themeColor="followedHyperlink"/>
      <w:u w:val="single"/>
    </w:rPr>
  </w:style>
  <w:style w:type="character" w:customStyle="1" w:styleId="AuszeichnungberMehrereWorte">
    <w:name w:val="AuszeichnungÜberMehrereWorte"/>
    <w:basedOn w:val="Absatz-Standardschriftart"/>
    <w:uiPriority w:val="9"/>
    <w:qFormat/>
    <w:rsid w:val="007C504E"/>
    <w:rPr>
      <w:color w:val="FF0000"/>
    </w:rPr>
  </w:style>
  <w:style w:type="character" w:customStyle="1" w:styleId="EditionsNotiz">
    <w:name w:val="EditionsNotiz"/>
    <w:basedOn w:val="Absatz-Standardschriftart"/>
    <w:qFormat/>
    <w:rsid w:val="007C504E"/>
    <w:rPr>
      <w:b/>
      <w:color w:val="FF0000"/>
    </w:rPr>
  </w:style>
  <w:style w:type="paragraph" w:customStyle="1" w:styleId="VortragTOPAbsatz1">
    <w:name w:val="VortragTOPAbsatz1"/>
    <w:basedOn w:val="ProtokollTOPAbsatz1"/>
    <w:next w:val="VortragTOPFortgesetzt"/>
    <w:uiPriority w:val="2"/>
    <w:qFormat/>
    <w:rsid w:val="007C504E"/>
    <w:rPr>
      <w:rFonts w:ascii="Cambria" w:hAnsi="Cambria"/>
    </w:rPr>
  </w:style>
  <w:style w:type="paragraph" w:customStyle="1" w:styleId="VortragTOPFortgesetzt">
    <w:name w:val="VortragTOPFortgesetzt"/>
    <w:basedOn w:val="ProtokollTOPFortgesetzt"/>
    <w:uiPriority w:val="2"/>
    <w:qFormat/>
    <w:rsid w:val="007C504E"/>
    <w:rPr>
      <w:rFonts w:ascii="Cambria" w:hAnsi="Cambria"/>
    </w:rPr>
  </w:style>
  <w:style w:type="paragraph" w:customStyle="1" w:styleId="VortragTOPAufzhlung">
    <w:name w:val="VortragTOPAufzählung"/>
    <w:basedOn w:val="VortragTOPFortgesetzt"/>
    <w:next w:val="VortragTOPFortgesetzt"/>
    <w:uiPriority w:val="2"/>
    <w:qFormat/>
    <w:rsid w:val="007C504E"/>
    <w:pPr>
      <w:ind w:firstLine="0"/>
    </w:pPr>
  </w:style>
  <w:style w:type="paragraph" w:customStyle="1" w:styleId="ProtokollTOPAufzhlung">
    <w:name w:val="ProtokollTOPAufzählung"/>
    <w:basedOn w:val="ProtokollTOPFortgesetzt"/>
    <w:uiPriority w:val="2"/>
    <w:qFormat/>
    <w:rsid w:val="007C504E"/>
    <w:pPr>
      <w:spacing w:before="120"/>
      <w:ind w:firstLine="0"/>
    </w:pPr>
  </w:style>
  <w:style w:type="character" w:customStyle="1" w:styleId="editorischereingriff0">
    <w:name w:val="editorischereingriff"/>
    <w:basedOn w:val="Absatz-Standardschriftart"/>
    <w:rsid w:val="00F8070A"/>
  </w:style>
  <w:style w:type="character" w:styleId="NichtaufgelsteErwhnung">
    <w:name w:val="Unresolved Mention"/>
    <w:basedOn w:val="Absatz-Standardschriftart"/>
    <w:uiPriority w:val="99"/>
    <w:semiHidden/>
    <w:unhideWhenUsed/>
    <w:rsid w:val="00F80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68715">
      <w:bodyDiv w:val="1"/>
      <w:marLeft w:val="0"/>
      <w:marRight w:val="0"/>
      <w:marTop w:val="0"/>
      <w:marBottom w:val="0"/>
      <w:divBdr>
        <w:top w:val="none" w:sz="0" w:space="0" w:color="auto"/>
        <w:left w:val="none" w:sz="0" w:space="0" w:color="auto"/>
        <w:bottom w:val="none" w:sz="0" w:space="0" w:color="auto"/>
        <w:right w:val="none" w:sz="0" w:space="0" w:color="auto"/>
      </w:divBdr>
    </w:div>
    <w:div w:id="28336243">
      <w:bodyDiv w:val="1"/>
      <w:marLeft w:val="0"/>
      <w:marRight w:val="0"/>
      <w:marTop w:val="0"/>
      <w:marBottom w:val="0"/>
      <w:divBdr>
        <w:top w:val="none" w:sz="0" w:space="0" w:color="auto"/>
        <w:left w:val="none" w:sz="0" w:space="0" w:color="auto"/>
        <w:bottom w:val="none" w:sz="0" w:space="0" w:color="auto"/>
        <w:right w:val="none" w:sz="0" w:space="0" w:color="auto"/>
      </w:divBdr>
    </w:div>
    <w:div w:id="30957185">
      <w:bodyDiv w:val="1"/>
      <w:marLeft w:val="0"/>
      <w:marRight w:val="0"/>
      <w:marTop w:val="0"/>
      <w:marBottom w:val="0"/>
      <w:divBdr>
        <w:top w:val="none" w:sz="0" w:space="0" w:color="auto"/>
        <w:left w:val="none" w:sz="0" w:space="0" w:color="auto"/>
        <w:bottom w:val="none" w:sz="0" w:space="0" w:color="auto"/>
        <w:right w:val="none" w:sz="0" w:space="0" w:color="auto"/>
      </w:divBdr>
    </w:div>
    <w:div w:id="37779200">
      <w:bodyDiv w:val="1"/>
      <w:marLeft w:val="0"/>
      <w:marRight w:val="0"/>
      <w:marTop w:val="0"/>
      <w:marBottom w:val="0"/>
      <w:divBdr>
        <w:top w:val="none" w:sz="0" w:space="0" w:color="auto"/>
        <w:left w:val="none" w:sz="0" w:space="0" w:color="auto"/>
        <w:bottom w:val="none" w:sz="0" w:space="0" w:color="auto"/>
        <w:right w:val="none" w:sz="0" w:space="0" w:color="auto"/>
      </w:divBdr>
    </w:div>
    <w:div w:id="39866259">
      <w:bodyDiv w:val="1"/>
      <w:marLeft w:val="0"/>
      <w:marRight w:val="0"/>
      <w:marTop w:val="0"/>
      <w:marBottom w:val="0"/>
      <w:divBdr>
        <w:top w:val="none" w:sz="0" w:space="0" w:color="auto"/>
        <w:left w:val="none" w:sz="0" w:space="0" w:color="auto"/>
        <w:bottom w:val="none" w:sz="0" w:space="0" w:color="auto"/>
        <w:right w:val="none" w:sz="0" w:space="0" w:color="auto"/>
      </w:divBdr>
    </w:div>
    <w:div w:id="53239536">
      <w:bodyDiv w:val="1"/>
      <w:marLeft w:val="0"/>
      <w:marRight w:val="0"/>
      <w:marTop w:val="0"/>
      <w:marBottom w:val="0"/>
      <w:divBdr>
        <w:top w:val="none" w:sz="0" w:space="0" w:color="auto"/>
        <w:left w:val="none" w:sz="0" w:space="0" w:color="auto"/>
        <w:bottom w:val="none" w:sz="0" w:space="0" w:color="auto"/>
        <w:right w:val="none" w:sz="0" w:space="0" w:color="auto"/>
      </w:divBdr>
    </w:div>
    <w:div w:id="91974592">
      <w:bodyDiv w:val="1"/>
      <w:marLeft w:val="0"/>
      <w:marRight w:val="0"/>
      <w:marTop w:val="0"/>
      <w:marBottom w:val="0"/>
      <w:divBdr>
        <w:top w:val="none" w:sz="0" w:space="0" w:color="auto"/>
        <w:left w:val="none" w:sz="0" w:space="0" w:color="auto"/>
        <w:bottom w:val="none" w:sz="0" w:space="0" w:color="auto"/>
        <w:right w:val="none" w:sz="0" w:space="0" w:color="auto"/>
      </w:divBdr>
    </w:div>
    <w:div w:id="125662080">
      <w:bodyDiv w:val="1"/>
      <w:marLeft w:val="0"/>
      <w:marRight w:val="0"/>
      <w:marTop w:val="0"/>
      <w:marBottom w:val="0"/>
      <w:divBdr>
        <w:top w:val="none" w:sz="0" w:space="0" w:color="auto"/>
        <w:left w:val="none" w:sz="0" w:space="0" w:color="auto"/>
        <w:bottom w:val="none" w:sz="0" w:space="0" w:color="auto"/>
        <w:right w:val="none" w:sz="0" w:space="0" w:color="auto"/>
      </w:divBdr>
    </w:div>
    <w:div w:id="142234421">
      <w:bodyDiv w:val="1"/>
      <w:marLeft w:val="0"/>
      <w:marRight w:val="0"/>
      <w:marTop w:val="0"/>
      <w:marBottom w:val="0"/>
      <w:divBdr>
        <w:top w:val="none" w:sz="0" w:space="0" w:color="auto"/>
        <w:left w:val="none" w:sz="0" w:space="0" w:color="auto"/>
        <w:bottom w:val="none" w:sz="0" w:space="0" w:color="auto"/>
        <w:right w:val="none" w:sz="0" w:space="0" w:color="auto"/>
      </w:divBdr>
    </w:div>
    <w:div w:id="221986490">
      <w:bodyDiv w:val="1"/>
      <w:marLeft w:val="0"/>
      <w:marRight w:val="0"/>
      <w:marTop w:val="0"/>
      <w:marBottom w:val="0"/>
      <w:divBdr>
        <w:top w:val="none" w:sz="0" w:space="0" w:color="auto"/>
        <w:left w:val="none" w:sz="0" w:space="0" w:color="auto"/>
        <w:bottom w:val="none" w:sz="0" w:space="0" w:color="auto"/>
        <w:right w:val="none" w:sz="0" w:space="0" w:color="auto"/>
      </w:divBdr>
    </w:div>
    <w:div w:id="237207194">
      <w:bodyDiv w:val="1"/>
      <w:marLeft w:val="0"/>
      <w:marRight w:val="0"/>
      <w:marTop w:val="0"/>
      <w:marBottom w:val="0"/>
      <w:divBdr>
        <w:top w:val="none" w:sz="0" w:space="0" w:color="auto"/>
        <w:left w:val="none" w:sz="0" w:space="0" w:color="auto"/>
        <w:bottom w:val="none" w:sz="0" w:space="0" w:color="auto"/>
        <w:right w:val="none" w:sz="0" w:space="0" w:color="auto"/>
      </w:divBdr>
    </w:div>
    <w:div w:id="268705982">
      <w:bodyDiv w:val="1"/>
      <w:marLeft w:val="0"/>
      <w:marRight w:val="0"/>
      <w:marTop w:val="0"/>
      <w:marBottom w:val="0"/>
      <w:divBdr>
        <w:top w:val="none" w:sz="0" w:space="0" w:color="auto"/>
        <w:left w:val="none" w:sz="0" w:space="0" w:color="auto"/>
        <w:bottom w:val="none" w:sz="0" w:space="0" w:color="auto"/>
        <w:right w:val="none" w:sz="0" w:space="0" w:color="auto"/>
      </w:divBdr>
    </w:div>
    <w:div w:id="283005635">
      <w:bodyDiv w:val="1"/>
      <w:marLeft w:val="0"/>
      <w:marRight w:val="0"/>
      <w:marTop w:val="0"/>
      <w:marBottom w:val="0"/>
      <w:divBdr>
        <w:top w:val="none" w:sz="0" w:space="0" w:color="auto"/>
        <w:left w:val="none" w:sz="0" w:space="0" w:color="auto"/>
        <w:bottom w:val="none" w:sz="0" w:space="0" w:color="auto"/>
        <w:right w:val="none" w:sz="0" w:space="0" w:color="auto"/>
      </w:divBdr>
    </w:div>
    <w:div w:id="302122253">
      <w:bodyDiv w:val="1"/>
      <w:marLeft w:val="0"/>
      <w:marRight w:val="0"/>
      <w:marTop w:val="0"/>
      <w:marBottom w:val="0"/>
      <w:divBdr>
        <w:top w:val="none" w:sz="0" w:space="0" w:color="auto"/>
        <w:left w:val="none" w:sz="0" w:space="0" w:color="auto"/>
        <w:bottom w:val="none" w:sz="0" w:space="0" w:color="auto"/>
        <w:right w:val="none" w:sz="0" w:space="0" w:color="auto"/>
      </w:divBdr>
    </w:div>
    <w:div w:id="307828221">
      <w:bodyDiv w:val="1"/>
      <w:marLeft w:val="0"/>
      <w:marRight w:val="0"/>
      <w:marTop w:val="0"/>
      <w:marBottom w:val="0"/>
      <w:divBdr>
        <w:top w:val="none" w:sz="0" w:space="0" w:color="auto"/>
        <w:left w:val="none" w:sz="0" w:space="0" w:color="auto"/>
        <w:bottom w:val="none" w:sz="0" w:space="0" w:color="auto"/>
        <w:right w:val="none" w:sz="0" w:space="0" w:color="auto"/>
      </w:divBdr>
    </w:div>
    <w:div w:id="360085770">
      <w:bodyDiv w:val="1"/>
      <w:marLeft w:val="0"/>
      <w:marRight w:val="0"/>
      <w:marTop w:val="0"/>
      <w:marBottom w:val="0"/>
      <w:divBdr>
        <w:top w:val="none" w:sz="0" w:space="0" w:color="auto"/>
        <w:left w:val="none" w:sz="0" w:space="0" w:color="auto"/>
        <w:bottom w:val="none" w:sz="0" w:space="0" w:color="auto"/>
        <w:right w:val="none" w:sz="0" w:space="0" w:color="auto"/>
      </w:divBdr>
    </w:div>
    <w:div w:id="368337176">
      <w:bodyDiv w:val="1"/>
      <w:marLeft w:val="0"/>
      <w:marRight w:val="0"/>
      <w:marTop w:val="0"/>
      <w:marBottom w:val="0"/>
      <w:divBdr>
        <w:top w:val="none" w:sz="0" w:space="0" w:color="auto"/>
        <w:left w:val="none" w:sz="0" w:space="0" w:color="auto"/>
        <w:bottom w:val="none" w:sz="0" w:space="0" w:color="auto"/>
        <w:right w:val="none" w:sz="0" w:space="0" w:color="auto"/>
      </w:divBdr>
    </w:div>
    <w:div w:id="387650333">
      <w:bodyDiv w:val="1"/>
      <w:marLeft w:val="0"/>
      <w:marRight w:val="0"/>
      <w:marTop w:val="0"/>
      <w:marBottom w:val="0"/>
      <w:divBdr>
        <w:top w:val="none" w:sz="0" w:space="0" w:color="auto"/>
        <w:left w:val="none" w:sz="0" w:space="0" w:color="auto"/>
        <w:bottom w:val="none" w:sz="0" w:space="0" w:color="auto"/>
        <w:right w:val="none" w:sz="0" w:space="0" w:color="auto"/>
      </w:divBdr>
    </w:div>
    <w:div w:id="415132171">
      <w:bodyDiv w:val="1"/>
      <w:marLeft w:val="0"/>
      <w:marRight w:val="0"/>
      <w:marTop w:val="0"/>
      <w:marBottom w:val="0"/>
      <w:divBdr>
        <w:top w:val="none" w:sz="0" w:space="0" w:color="auto"/>
        <w:left w:val="none" w:sz="0" w:space="0" w:color="auto"/>
        <w:bottom w:val="none" w:sz="0" w:space="0" w:color="auto"/>
        <w:right w:val="none" w:sz="0" w:space="0" w:color="auto"/>
      </w:divBdr>
    </w:div>
    <w:div w:id="429008228">
      <w:bodyDiv w:val="1"/>
      <w:marLeft w:val="0"/>
      <w:marRight w:val="0"/>
      <w:marTop w:val="0"/>
      <w:marBottom w:val="0"/>
      <w:divBdr>
        <w:top w:val="none" w:sz="0" w:space="0" w:color="auto"/>
        <w:left w:val="none" w:sz="0" w:space="0" w:color="auto"/>
        <w:bottom w:val="none" w:sz="0" w:space="0" w:color="auto"/>
        <w:right w:val="none" w:sz="0" w:space="0" w:color="auto"/>
      </w:divBdr>
    </w:div>
    <w:div w:id="492188636">
      <w:bodyDiv w:val="1"/>
      <w:marLeft w:val="0"/>
      <w:marRight w:val="0"/>
      <w:marTop w:val="0"/>
      <w:marBottom w:val="0"/>
      <w:divBdr>
        <w:top w:val="none" w:sz="0" w:space="0" w:color="auto"/>
        <w:left w:val="none" w:sz="0" w:space="0" w:color="auto"/>
        <w:bottom w:val="none" w:sz="0" w:space="0" w:color="auto"/>
        <w:right w:val="none" w:sz="0" w:space="0" w:color="auto"/>
      </w:divBdr>
    </w:div>
    <w:div w:id="494339984">
      <w:bodyDiv w:val="1"/>
      <w:marLeft w:val="0"/>
      <w:marRight w:val="0"/>
      <w:marTop w:val="0"/>
      <w:marBottom w:val="0"/>
      <w:divBdr>
        <w:top w:val="none" w:sz="0" w:space="0" w:color="auto"/>
        <w:left w:val="none" w:sz="0" w:space="0" w:color="auto"/>
        <w:bottom w:val="none" w:sz="0" w:space="0" w:color="auto"/>
        <w:right w:val="none" w:sz="0" w:space="0" w:color="auto"/>
      </w:divBdr>
    </w:div>
    <w:div w:id="500000272">
      <w:bodyDiv w:val="1"/>
      <w:marLeft w:val="0"/>
      <w:marRight w:val="0"/>
      <w:marTop w:val="0"/>
      <w:marBottom w:val="0"/>
      <w:divBdr>
        <w:top w:val="none" w:sz="0" w:space="0" w:color="auto"/>
        <w:left w:val="none" w:sz="0" w:space="0" w:color="auto"/>
        <w:bottom w:val="none" w:sz="0" w:space="0" w:color="auto"/>
        <w:right w:val="none" w:sz="0" w:space="0" w:color="auto"/>
      </w:divBdr>
    </w:div>
    <w:div w:id="516040618">
      <w:bodyDiv w:val="1"/>
      <w:marLeft w:val="0"/>
      <w:marRight w:val="0"/>
      <w:marTop w:val="0"/>
      <w:marBottom w:val="0"/>
      <w:divBdr>
        <w:top w:val="none" w:sz="0" w:space="0" w:color="auto"/>
        <w:left w:val="none" w:sz="0" w:space="0" w:color="auto"/>
        <w:bottom w:val="none" w:sz="0" w:space="0" w:color="auto"/>
        <w:right w:val="none" w:sz="0" w:space="0" w:color="auto"/>
      </w:divBdr>
    </w:div>
    <w:div w:id="519200669">
      <w:bodyDiv w:val="1"/>
      <w:marLeft w:val="0"/>
      <w:marRight w:val="0"/>
      <w:marTop w:val="0"/>
      <w:marBottom w:val="0"/>
      <w:divBdr>
        <w:top w:val="none" w:sz="0" w:space="0" w:color="auto"/>
        <w:left w:val="none" w:sz="0" w:space="0" w:color="auto"/>
        <w:bottom w:val="none" w:sz="0" w:space="0" w:color="auto"/>
        <w:right w:val="none" w:sz="0" w:space="0" w:color="auto"/>
      </w:divBdr>
    </w:div>
    <w:div w:id="579560326">
      <w:bodyDiv w:val="1"/>
      <w:marLeft w:val="0"/>
      <w:marRight w:val="0"/>
      <w:marTop w:val="0"/>
      <w:marBottom w:val="0"/>
      <w:divBdr>
        <w:top w:val="none" w:sz="0" w:space="0" w:color="auto"/>
        <w:left w:val="none" w:sz="0" w:space="0" w:color="auto"/>
        <w:bottom w:val="none" w:sz="0" w:space="0" w:color="auto"/>
        <w:right w:val="none" w:sz="0" w:space="0" w:color="auto"/>
      </w:divBdr>
    </w:div>
    <w:div w:id="592201516">
      <w:bodyDiv w:val="1"/>
      <w:marLeft w:val="0"/>
      <w:marRight w:val="0"/>
      <w:marTop w:val="0"/>
      <w:marBottom w:val="0"/>
      <w:divBdr>
        <w:top w:val="none" w:sz="0" w:space="0" w:color="auto"/>
        <w:left w:val="none" w:sz="0" w:space="0" w:color="auto"/>
        <w:bottom w:val="none" w:sz="0" w:space="0" w:color="auto"/>
        <w:right w:val="none" w:sz="0" w:space="0" w:color="auto"/>
      </w:divBdr>
    </w:div>
    <w:div w:id="610740578">
      <w:bodyDiv w:val="1"/>
      <w:marLeft w:val="0"/>
      <w:marRight w:val="0"/>
      <w:marTop w:val="0"/>
      <w:marBottom w:val="0"/>
      <w:divBdr>
        <w:top w:val="none" w:sz="0" w:space="0" w:color="auto"/>
        <w:left w:val="none" w:sz="0" w:space="0" w:color="auto"/>
        <w:bottom w:val="none" w:sz="0" w:space="0" w:color="auto"/>
        <w:right w:val="none" w:sz="0" w:space="0" w:color="auto"/>
      </w:divBdr>
    </w:div>
    <w:div w:id="636842035">
      <w:bodyDiv w:val="1"/>
      <w:marLeft w:val="0"/>
      <w:marRight w:val="0"/>
      <w:marTop w:val="0"/>
      <w:marBottom w:val="0"/>
      <w:divBdr>
        <w:top w:val="none" w:sz="0" w:space="0" w:color="auto"/>
        <w:left w:val="none" w:sz="0" w:space="0" w:color="auto"/>
        <w:bottom w:val="none" w:sz="0" w:space="0" w:color="auto"/>
        <w:right w:val="none" w:sz="0" w:space="0" w:color="auto"/>
      </w:divBdr>
    </w:div>
    <w:div w:id="698431697">
      <w:bodyDiv w:val="1"/>
      <w:marLeft w:val="0"/>
      <w:marRight w:val="0"/>
      <w:marTop w:val="0"/>
      <w:marBottom w:val="0"/>
      <w:divBdr>
        <w:top w:val="none" w:sz="0" w:space="0" w:color="auto"/>
        <w:left w:val="none" w:sz="0" w:space="0" w:color="auto"/>
        <w:bottom w:val="none" w:sz="0" w:space="0" w:color="auto"/>
        <w:right w:val="none" w:sz="0" w:space="0" w:color="auto"/>
      </w:divBdr>
    </w:div>
    <w:div w:id="704719084">
      <w:bodyDiv w:val="1"/>
      <w:marLeft w:val="0"/>
      <w:marRight w:val="0"/>
      <w:marTop w:val="0"/>
      <w:marBottom w:val="0"/>
      <w:divBdr>
        <w:top w:val="none" w:sz="0" w:space="0" w:color="auto"/>
        <w:left w:val="none" w:sz="0" w:space="0" w:color="auto"/>
        <w:bottom w:val="none" w:sz="0" w:space="0" w:color="auto"/>
        <w:right w:val="none" w:sz="0" w:space="0" w:color="auto"/>
      </w:divBdr>
    </w:div>
    <w:div w:id="741369184">
      <w:bodyDiv w:val="1"/>
      <w:marLeft w:val="0"/>
      <w:marRight w:val="0"/>
      <w:marTop w:val="0"/>
      <w:marBottom w:val="0"/>
      <w:divBdr>
        <w:top w:val="none" w:sz="0" w:space="0" w:color="auto"/>
        <w:left w:val="none" w:sz="0" w:space="0" w:color="auto"/>
        <w:bottom w:val="none" w:sz="0" w:space="0" w:color="auto"/>
        <w:right w:val="none" w:sz="0" w:space="0" w:color="auto"/>
      </w:divBdr>
    </w:div>
    <w:div w:id="779301076">
      <w:bodyDiv w:val="1"/>
      <w:marLeft w:val="0"/>
      <w:marRight w:val="0"/>
      <w:marTop w:val="0"/>
      <w:marBottom w:val="0"/>
      <w:divBdr>
        <w:top w:val="none" w:sz="0" w:space="0" w:color="auto"/>
        <w:left w:val="none" w:sz="0" w:space="0" w:color="auto"/>
        <w:bottom w:val="none" w:sz="0" w:space="0" w:color="auto"/>
        <w:right w:val="none" w:sz="0" w:space="0" w:color="auto"/>
      </w:divBdr>
    </w:div>
    <w:div w:id="781387408">
      <w:bodyDiv w:val="1"/>
      <w:marLeft w:val="0"/>
      <w:marRight w:val="0"/>
      <w:marTop w:val="0"/>
      <w:marBottom w:val="0"/>
      <w:divBdr>
        <w:top w:val="none" w:sz="0" w:space="0" w:color="auto"/>
        <w:left w:val="none" w:sz="0" w:space="0" w:color="auto"/>
        <w:bottom w:val="none" w:sz="0" w:space="0" w:color="auto"/>
        <w:right w:val="none" w:sz="0" w:space="0" w:color="auto"/>
      </w:divBdr>
    </w:div>
    <w:div w:id="790561936">
      <w:bodyDiv w:val="1"/>
      <w:marLeft w:val="0"/>
      <w:marRight w:val="0"/>
      <w:marTop w:val="0"/>
      <w:marBottom w:val="0"/>
      <w:divBdr>
        <w:top w:val="none" w:sz="0" w:space="0" w:color="auto"/>
        <w:left w:val="none" w:sz="0" w:space="0" w:color="auto"/>
        <w:bottom w:val="none" w:sz="0" w:space="0" w:color="auto"/>
        <w:right w:val="none" w:sz="0" w:space="0" w:color="auto"/>
      </w:divBdr>
    </w:div>
    <w:div w:id="808792126">
      <w:bodyDiv w:val="1"/>
      <w:marLeft w:val="0"/>
      <w:marRight w:val="0"/>
      <w:marTop w:val="0"/>
      <w:marBottom w:val="0"/>
      <w:divBdr>
        <w:top w:val="none" w:sz="0" w:space="0" w:color="auto"/>
        <w:left w:val="none" w:sz="0" w:space="0" w:color="auto"/>
        <w:bottom w:val="none" w:sz="0" w:space="0" w:color="auto"/>
        <w:right w:val="none" w:sz="0" w:space="0" w:color="auto"/>
      </w:divBdr>
    </w:div>
    <w:div w:id="812335669">
      <w:bodyDiv w:val="1"/>
      <w:marLeft w:val="0"/>
      <w:marRight w:val="0"/>
      <w:marTop w:val="0"/>
      <w:marBottom w:val="0"/>
      <w:divBdr>
        <w:top w:val="none" w:sz="0" w:space="0" w:color="auto"/>
        <w:left w:val="none" w:sz="0" w:space="0" w:color="auto"/>
        <w:bottom w:val="none" w:sz="0" w:space="0" w:color="auto"/>
        <w:right w:val="none" w:sz="0" w:space="0" w:color="auto"/>
      </w:divBdr>
    </w:div>
    <w:div w:id="846746642">
      <w:bodyDiv w:val="1"/>
      <w:marLeft w:val="0"/>
      <w:marRight w:val="0"/>
      <w:marTop w:val="0"/>
      <w:marBottom w:val="0"/>
      <w:divBdr>
        <w:top w:val="none" w:sz="0" w:space="0" w:color="auto"/>
        <w:left w:val="none" w:sz="0" w:space="0" w:color="auto"/>
        <w:bottom w:val="none" w:sz="0" w:space="0" w:color="auto"/>
        <w:right w:val="none" w:sz="0" w:space="0" w:color="auto"/>
      </w:divBdr>
    </w:div>
    <w:div w:id="871112847">
      <w:bodyDiv w:val="1"/>
      <w:marLeft w:val="0"/>
      <w:marRight w:val="0"/>
      <w:marTop w:val="0"/>
      <w:marBottom w:val="0"/>
      <w:divBdr>
        <w:top w:val="none" w:sz="0" w:space="0" w:color="auto"/>
        <w:left w:val="none" w:sz="0" w:space="0" w:color="auto"/>
        <w:bottom w:val="none" w:sz="0" w:space="0" w:color="auto"/>
        <w:right w:val="none" w:sz="0" w:space="0" w:color="auto"/>
      </w:divBdr>
    </w:div>
    <w:div w:id="913127209">
      <w:bodyDiv w:val="1"/>
      <w:marLeft w:val="0"/>
      <w:marRight w:val="0"/>
      <w:marTop w:val="0"/>
      <w:marBottom w:val="0"/>
      <w:divBdr>
        <w:top w:val="none" w:sz="0" w:space="0" w:color="auto"/>
        <w:left w:val="none" w:sz="0" w:space="0" w:color="auto"/>
        <w:bottom w:val="none" w:sz="0" w:space="0" w:color="auto"/>
        <w:right w:val="none" w:sz="0" w:space="0" w:color="auto"/>
      </w:divBdr>
    </w:div>
    <w:div w:id="921839306">
      <w:bodyDiv w:val="1"/>
      <w:marLeft w:val="0"/>
      <w:marRight w:val="0"/>
      <w:marTop w:val="0"/>
      <w:marBottom w:val="0"/>
      <w:divBdr>
        <w:top w:val="none" w:sz="0" w:space="0" w:color="auto"/>
        <w:left w:val="none" w:sz="0" w:space="0" w:color="auto"/>
        <w:bottom w:val="none" w:sz="0" w:space="0" w:color="auto"/>
        <w:right w:val="none" w:sz="0" w:space="0" w:color="auto"/>
      </w:divBdr>
    </w:div>
    <w:div w:id="947589052">
      <w:bodyDiv w:val="1"/>
      <w:marLeft w:val="0"/>
      <w:marRight w:val="0"/>
      <w:marTop w:val="0"/>
      <w:marBottom w:val="0"/>
      <w:divBdr>
        <w:top w:val="none" w:sz="0" w:space="0" w:color="auto"/>
        <w:left w:val="none" w:sz="0" w:space="0" w:color="auto"/>
        <w:bottom w:val="none" w:sz="0" w:space="0" w:color="auto"/>
        <w:right w:val="none" w:sz="0" w:space="0" w:color="auto"/>
      </w:divBdr>
    </w:div>
    <w:div w:id="968239132">
      <w:bodyDiv w:val="1"/>
      <w:marLeft w:val="0"/>
      <w:marRight w:val="0"/>
      <w:marTop w:val="0"/>
      <w:marBottom w:val="0"/>
      <w:divBdr>
        <w:top w:val="none" w:sz="0" w:space="0" w:color="auto"/>
        <w:left w:val="none" w:sz="0" w:space="0" w:color="auto"/>
        <w:bottom w:val="none" w:sz="0" w:space="0" w:color="auto"/>
        <w:right w:val="none" w:sz="0" w:space="0" w:color="auto"/>
      </w:divBdr>
    </w:div>
    <w:div w:id="978802708">
      <w:bodyDiv w:val="1"/>
      <w:marLeft w:val="0"/>
      <w:marRight w:val="0"/>
      <w:marTop w:val="0"/>
      <w:marBottom w:val="0"/>
      <w:divBdr>
        <w:top w:val="none" w:sz="0" w:space="0" w:color="auto"/>
        <w:left w:val="none" w:sz="0" w:space="0" w:color="auto"/>
        <w:bottom w:val="none" w:sz="0" w:space="0" w:color="auto"/>
        <w:right w:val="none" w:sz="0" w:space="0" w:color="auto"/>
      </w:divBdr>
    </w:div>
    <w:div w:id="979578301">
      <w:bodyDiv w:val="1"/>
      <w:marLeft w:val="0"/>
      <w:marRight w:val="0"/>
      <w:marTop w:val="0"/>
      <w:marBottom w:val="0"/>
      <w:divBdr>
        <w:top w:val="none" w:sz="0" w:space="0" w:color="auto"/>
        <w:left w:val="none" w:sz="0" w:space="0" w:color="auto"/>
        <w:bottom w:val="none" w:sz="0" w:space="0" w:color="auto"/>
        <w:right w:val="none" w:sz="0" w:space="0" w:color="auto"/>
      </w:divBdr>
    </w:div>
    <w:div w:id="988947437">
      <w:bodyDiv w:val="1"/>
      <w:marLeft w:val="0"/>
      <w:marRight w:val="0"/>
      <w:marTop w:val="0"/>
      <w:marBottom w:val="0"/>
      <w:divBdr>
        <w:top w:val="none" w:sz="0" w:space="0" w:color="auto"/>
        <w:left w:val="none" w:sz="0" w:space="0" w:color="auto"/>
        <w:bottom w:val="none" w:sz="0" w:space="0" w:color="auto"/>
        <w:right w:val="none" w:sz="0" w:space="0" w:color="auto"/>
      </w:divBdr>
    </w:div>
    <w:div w:id="1008826870">
      <w:bodyDiv w:val="1"/>
      <w:marLeft w:val="0"/>
      <w:marRight w:val="0"/>
      <w:marTop w:val="0"/>
      <w:marBottom w:val="0"/>
      <w:divBdr>
        <w:top w:val="none" w:sz="0" w:space="0" w:color="auto"/>
        <w:left w:val="none" w:sz="0" w:space="0" w:color="auto"/>
        <w:bottom w:val="none" w:sz="0" w:space="0" w:color="auto"/>
        <w:right w:val="none" w:sz="0" w:space="0" w:color="auto"/>
      </w:divBdr>
    </w:div>
    <w:div w:id="1011571469">
      <w:bodyDiv w:val="1"/>
      <w:marLeft w:val="0"/>
      <w:marRight w:val="0"/>
      <w:marTop w:val="0"/>
      <w:marBottom w:val="0"/>
      <w:divBdr>
        <w:top w:val="none" w:sz="0" w:space="0" w:color="auto"/>
        <w:left w:val="none" w:sz="0" w:space="0" w:color="auto"/>
        <w:bottom w:val="none" w:sz="0" w:space="0" w:color="auto"/>
        <w:right w:val="none" w:sz="0" w:space="0" w:color="auto"/>
      </w:divBdr>
    </w:div>
    <w:div w:id="1034427314">
      <w:bodyDiv w:val="1"/>
      <w:marLeft w:val="0"/>
      <w:marRight w:val="0"/>
      <w:marTop w:val="0"/>
      <w:marBottom w:val="0"/>
      <w:divBdr>
        <w:top w:val="none" w:sz="0" w:space="0" w:color="auto"/>
        <w:left w:val="none" w:sz="0" w:space="0" w:color="auto"/>
        <w:bottom w:val="none" w:sz="0" w:space="0" w:color="auto"/>
        <w:right w:val="none" w:sz="0" w:space="0" w:color="auto"/>
      </w:divBdr>
    </w:div>
    <w:div w:id="1085422698">
      <w:bodyDiv w:val="1"/>
      <w:marLeft w:val="0"/>
      <w:marRight w:val="0"/>
      <w:marTop w:val="0"/>
      <w:marBottom w:val="0"/>
      <w:divBdr>
        <w:top w:val="none" w:sz="0" w:space="0" w:color="auto"/>
        <w:left w:val="none" w:sz="0" w:space="0" w:color="auto"/>
        <w:bottom w:val="none" w:sz="0" w:space="0" w:color="auto"/>
        <w:right w:val="none" w:sz="0" w:space="0" w:color="auto"/>
      </w:divBdr>
    </w:div>
    <w:div w:id="1114708996">
      <w:bodyDiv w:val="1"/>
      <w:marLeft w:val="0"/>
      <w:marRight w:val="0"/>
      <w:marTop w:val="0"/>
      <w:marBottom w:val="0"/>
      <w:divBdr>
        <w:top w:val="none" w:sz="0" w:space="0" w:color="auto"/>
        <w:left w:val="none" w:sz="0" w:space="0" w:color="auto"/>
        <w:bottom w:val="none" w:sz="0" w:space="0" w:color="auto"/>
        <w:right w:val="none" w:sz="0" w:space="0" w:color="auto"/>
      </w:divBdr>
    </w:div>
    <w:div w:id="1118645330">
      <w:bodyDiv w:val="1"/>
      <w:marLeft w:val="0"/>
      <w:marRight w:val="0"/>
      <w:marTop w:val="0"/>
      <w:marBottom w:val="0"/>
      <w:divBdr>
        <w:top w:val="none" w:sz="0" w:space="0" w:color="auto"/>
        <w:left w:val="none" w:sz="0" w:space="0" w:color="auto"/>
        <w:bottom w:val="none" w:sz="0" w:space="0" w:color="auto"/>
        <w:right w:val="none" w:sz="0" w:space="0" w:color="auto"/>
      </w:divBdr>
    </w:div>
    <w:div w:id="1122991310">
      <w:bodyDiv w:val="1"/>
      <w:marLeft w:val="0"/>
      <w:marRight w:val="0"/>
      <w:marTop w:val="0"/>
      <w:marBottom w:val="0"/>
      <w:divBdr>
        <w:top w:val="none" w:sz="0" w:space="0" w:color="auto"/>
        <w:left w:val="none" w:sz="0" w:space="0" w:color="auto"/>
        <w:bottom w:val="none" w:sz="0" w:space="0" w:color="auto"/>
        <w:right w:val="none" w:sz="0" w:space="0" w:color="auto"/>
      </w:divBdr>
    </w:div>
    <w:div w:id="1163275988">
      <w:bodyDiv w:val="1"/>
      <w:marLeft w:val="0"/>
      <w:marRight w:val="0"/>
      <w:marTop w:val="0"/>
      <w:marBottom w:val="0"/>
      <w:divBdr>
        <w:top w:val="none" w:sz="0" w:space="0" w:color="auto"/>
        <w:left w:val="none" w:sz="0" w:space="0" w:color="auto"/>
        <w:bottom w:val="none" w:sz="0" w:space="0" w:color="auto"/>
        <w:right w:val="none" w:sz="0" w:space="0" w:color="auto"/>
      </w:divBdr>
    </w:div>
    <w:div w:id="1172187099">
      <w:bodyDiv w:val="1"/>
      <w:marLeft w:val="0"/>
      <w:marRight w:val="0"/>
      <w:marTop w:val="0"/>
      <w:marBottom w:val="0"/>
      <w:divBdr>
        <w:top w:val="none" w:sz="0" w:space="0" w:color="auto"/>
        <w:left w:val="none" w:sz="0" w:space="0" w:color="auto"/>
        <w:bottom w:val="none" w:sz="0" w:space="0" w:color="auto"/>
        <w:right w:val="none" w:sz="0" w:space="0" w:color="auto"/>
      </w:divBdr>
    </w:div>
    <w:div w:id="1174035139">
      <w:bodyDiv w:val="1"/>
      <w:marLeft w:val="0"/>
      <w:marRight w:val="0"/>
      <w:marTop w:val="0"/>
      <w:marBottom w:val="0"/>
      <w:divBdr>
        <w:top w:val="none" w:sz="0" w:space="0" w:color="auto"/>
        <w:left w:val="none" w:sz="0" w:space="0" w:color="auto"/>
        <w:bottom w:val="none" w:sz="0" w:space="0" w:color="auto"/>
        <w:right w:val="none" w:sz="0" w:space="0" w:color="auto"/>
      </w:divBdr>
    </w:div>
    <w:div w:id="1176336347">
      <w:bodyDiv w:val="1"/>
      <w:marLeft w:val="0"/>
      <w:marRight w:val="0"/>
      <w:marTop w:val="0"/>
      <w:marBottom w:val="0"/>
      <w:divBdr>
        <w:top w:val="none" w:sz="0" w:space="0" w:color="auto"/>
        <w:left w:val="none" w:sz="0" w:space="0" w:color="auto"/>
        <w:bottom w:val="none" w:sz="0" w:space="0" w:color="auto"/>
        <w:right w:val="none" w:sz="0" w:space="0" w:color="auto"/>
      </w:divBdr>
    </w:div>
    <w:div w:id="1176384310">
      <w:bodyDiv w:val="1"/>
      <w:marLeft w:val="0"/>
      <w:marRight w:val="0"/>
      <w:marTop w:val="0"/>
      <w:marBottom w:val="0"/>
      <w:divBdr>
        <w:top w:val="none" w:sz="0" w:space="0" w:color="auto"/>
        <w:left w:val="none" w:sz="0" w:space="0" w:color="auto"/>
        <w:bottom w:val="none" w:sz="0" w:space="0" w:color="auto"/>
        <w:right w:val="none" w:sz="0" w:space="0" w:color="auto"/>
      </w:divBdr>
    </w:div>
    <w:div w:id="1205678021">
      <w:bodyDiv w:val="1"/>
      <w:marLeft w:val="0"/>
      <w:marRight w:val="0"/>
      <w:marTop w:val="0"/>
      <w:marBottom w:val="0"/>
      <w:divBdr>
        <w:top w:val="none" w:sz="0" w:space="0" w:color="auto"/>
        <w:left w:val="none" w:sz="0" w:space="0" w:color="auto"/>
        <w:bottom w:val="none" w:sz="0" w:space="0" w:color="auto"/>
        <w:right w:val="none" w:sz="0" w:space="0" w:color="auto"/>
      </w:divBdr>
    </w:div>
    <w:div w:id="1252201760">
      <w:bodyDiv w:val="1"/>
      <w:marLeft w:val="0"/>
      <w:marRight w:val="0"/>
      <w:marTop w:val="0"/>
      <w:marBottom w:val="0"/>
      <w:divBdr>
        <w:top w:val="none" w:sz="0" w:space="0" w:color="auto"/>
        <w:left w:val="none" w:sz="0" w:space="0" w:color="auto"/>
        <w:bottom w:val="none" w:sz="0" w:space="0" w:color="auto"/>
        <w:right w:val="none" w:sz="0" w:space="0" w:color="auto"/>
      </w:divBdr>
    </w:div>
    <w:div w:id="1255943400">
      <w:bodyDiv w:val="1"/>
      <w:marLeft w:val="0"/>
      <w:marRight w:val="0"/>
      <w:marTop w:val="0"/>
      <w:marBottom w:val="0"/>
      <w:divBdr>
        <w:top w:val="none" w:sz="0" w:space="0" w:color="auto"/>
        <w:left w:val="none" w:sz="0" w:space="0" w:color="auto"/>
        <w:bottom w:val="none" w:sz="0" w:space="0" w:color="auto"/>
        <w:right w:val="none" w:sz="0" w:space="0" w:color="auto"/>
      </w:divBdr>
    </w:div>
    <w:div w:id="1268582568">
      <w:bodyDiv w:val="1"/>
      <w:marLeft w:val="0"/>
      <w:marRight w:val="0"/>
      <w:marTop w:val="0"/>
      <w:marBottom w:val="0"/>
      <w:divBdr>
        <w:top w:val="none" w:sz="0" w:space="0" w:color="auto"/>
        <w:left w:val="none" w:sz="0" w:space="0" w:color="auto"/>
        <w:bottom w:val="none" w:sz="0" w:space="0" w:color="auto"/>
        <w:right w:val="none" w:sz="0" w:space="0" w:color="auto"/>
      </w:divBdr>
    </w:div>
    <w:div w:id="1292520620">
      <w:bodyDiv w:val="1"/>
      <w:marLeft w:val="0"/>
      <w:marRight w:val="0"/>
      <w:marTop w:val="0"/>
      <w:marBottom w:val="0"/>
      <w:divBdr>
        <w:top w:val="none" w:sz="0" w:space="0" w:color="auto"/>
        <w:left w:val="none" w:sz="0" w:space="0" w:color="auto"/>
        <w:bottom w:val="none" w:sz="0" w:space="0" w:color="auto"/>
        <w:right w:val="none" w:sz="0" w:space="0" w:color="auto"/>
      </w:divBdr>
    </w:div>
    <w:div w:id="1297108333">
      <w:bodyDiv w:val="1"/>
      <w:marLeft w:val="0"/>
      <w:marRight w:val="0"/>
      <w:marTop w:val="0"/>
      <w:marBottom w:val="0"/>
      <w:divBdr>
        <w:top w:val="none" w:sz="0" w:space="0" w:color="auto"/>
        <w:left w:val="none" w:sz="0" w:space="0" w:color="auto"/>
        <w:bottom w:val="none" w:sz="0" w:space="0" w:color="auto"/>
        <w:right w:val="none" w:sz="0" w:space="0" w:color="auto"/>
      </w:divBdr>
    </w:div>
    <w:div w:id="1319192327">
      <w:bodyDiv w:val="1"/>
      <w:marLeft w:val="0"/>
      <w:marRight w:val="0"/>
      <w:marTop w:val="0"/>
      <w:marBottom w:val="0"/>
      <w:divBdr>
        <w:top w:val="none" w:sz="0" w:space="0" w:color="auto"/>
        <w:left w:val="none" w:sz="0" w:space="0" w:color="auto"/>
        <w:bottom w:val="none" w:sz="0" w:space="0" w:color="auto"/>
        <w:right w:val="none" w:sz="0" w:space="0" w:color="auto"/>
      </w:divBdr>
    </w:div>
    <w:div w:id="1386300564">
      <w:bodyDiv w:val="1"/>
      <w:marLeft w:val="0"/>
      <w:marRight w:val="0"/>
      <w:marTop w:val="0"/>
      <w:marBottom w:val="0"/>
      <w:divBdr>
        <w:top w:val="none" w:sz="0" w:space="0" w:color="auto"/>
        <w:left w:val="none" w:sz="0" w:space="0" w:color="auto"/>
        <w:bottom w:val="none" w:sz="0" w:space="0" w:color="auto"/>
        <w:right w:val="none" w:sz="0" w:space="0" w:color="auto"/>
      </w:divBdr>
    </w:div>
    <w:div w:id="1406343958">
      <w:bodyDiv w:val="1"/>
      <w:marLeft w:val="0"/>
      <w:marRight w:val="0"/>
      <w:marTop w:val="0"/>
      <w:marBottom w:val="0"/>
      <w:divBdr>
        <w:top w:val="none" w:sz="0" w:space="0" w:color="auto"/>
        <w:left w:val="none" w:sz="0" w:space="0" w:color="auto"/>
        <w:bottom w:val="none" w:sz="0" w:space="0" w:color="auto"/>
        <w:right w:val="none" w:sz="0" w:space="0" w:color="auto"/>
      </w:divBdr>
    </w:div>
    <w:div w:id="1412121719">
      <w:bodyDiv w:val="1"/>
      <w:marLeft w:val="0"/>
      <w:marRight w:val="0"/>
      <w:marTop w:val="0"/>
      <w:marBottom w:val="0"/>
      <w:divBdr>
        <w:top w:val="none" w:sz="0" w:space="0" w:color="auto"/>
        <w:left w:val="none" w:sz="0" w:space="0" w:color="auto"/>
        <w:bottom w:val="none" w:sz="0" w:space="0" w:color="auto"/>
        <w:right w:val="none" w:sz="0" w:space="0" w:color="auto"/>
      </w:divBdr>
    </w:div>
    <w:div w:id="1433431909">
      <w:bodyDiv w:val="1"/>
      <w:marLeft w:val="0"/>
      <w:marRight w:val="0"/>
      <w:marTop w:val="0"/>
      <w:marBottom w:val="0"/>
      <w:divBdr>
        <w:top w:val="none" w:sz="0" w:space="0" w:color="auto"/>
        <w:left w:val="none" w:sz="0" w:space="0" w:color="auto"/>
        <w:bottom w:val="none" w:sz="0" w:space="0" w:color="auto"/>
        <w:right w:val="none" w:sz="0" w:space="0" w:color="auto"/>
      </w:divBdr>
    </w:div>
    <w:div w:id="1448696678">
      <w:bodyDiv w:val="1"/>
      <w:marLeft w:val="0"/>
      <w:marRight w:val="0"/>
      <w:marTop w:val="0"/>
      <w:marBottom w:val="0"/>
      <w:divBdr>
        <w:top w:val="none" w:sz="0" w:space="0" w:color="auto"/>
        <w:left w:val="none" w:sz="0" w:space="0" w:color="auto"/>
        <w:bottom w:val="none" w:sz="0" w:space="0" w:color="auto"/>
        <w:right w:val="none" w:sz="0" w:space="0" w:color="auto"/>
      </w:divBdr>
    </w:div>
    <w:div w:id="1451049404">
      <w:bodyDiv w:val="1"/>
      <w:marLeft w:val="0"/>
      <w:marRight w:val="0"/>
      <w:marTop w:val="0"/>
      <w:marBottom w:val="0"/>
      <w:divBdr>
        <w:top w:val="none" w:sz="0" w:space="0" w:color="auto"/>
        <w:left w:val="none" w:sz="0" w:space="0" w:color="auto"/>
        <w:bottom w:val="none" w:sz="0" w:space="0" w:color="auto"/>
        <w:right w:val="none" w:sz="0" w:space="0" w:color="auto"/>
      </w:divBdr>
    </w:div>
    <w:div w:id="1455059536">
      <w:bodyDiv w:val="1"/>
      <w:marLeft w:val="0"/>
      <w:marRight w:val="0"/>
      <w:marTop w:val="0"/>
      <w:marBottom w:val="0"/>
      <w:divBdr>
        <w:top w:val="none" w:sz="0" w:space="0" w:color="auto"/>
        <w:left w:val="none" w:sz="0" w:space="0" w:color="auto"/>
        <w:bottom w:val="none" w:sz="0" w:space="0" w:color="auto"/>
        <w:right w:val="none" w:sz="0" w:space="0" w:color="auto"/>
      </w:divBdr>
    </w:div>
    <w:div w:id="1497648607">
      <w:bodyDiv w:val="1"/>
      <w:marLeft w:val="0"/>
      <w:marRight w:val="0"/>
      <w:marTop w:val="0"/>
      <w:marBottom w:val="0"/>
      <w:divBdr>
        <w:top w:val="none" w:sz="0" w:space="0" w:color="auto"/>
        <w:left w:val="none" w:sz="0" w:space="0" w:color="auto"/>
        <w:bottom w:val="none" w:sz="0" w:space="0" w:color="auto"/>
        <w:right w:val="none" w:sz="0" w:space="0" w:color="auto"/>
      </w:divBdr>
    </w:div>
    <w:div w:id="1549075667">
      <w:bodyDiv w:val="1"/>
      <w:marLeft w:val="0"/>
      <w:marRight w:val="0"/>
      <w:marTop w:val="0"/>
      <w:marBottom w:val="0"/>
      <w:divBdr>
        <w:top w:val="none" w:sz="0" w:space="0" w:color="auto"/>
        <w:left w:val="none" w:sz="0" w:space="0" w:color="auto"/>
        <w:bottom w:val="none" w:sz="0" w:space="0" w:color="auto"/>
        <w:right w:val="none" w:sz="0" w:space="0" w:color="auto"/>
      </w:divBdr>
    </w:div>
    <w:div w:id="1556694804">
      <w:bodyDiv w:val="1"/>
      <w:marLeft w:val="0"/>
      <w:marRight w:val="0"/>
      <w:marTop w:val="0"/>
      <w:marBottom w:val="0"/>
      <w:divBdr>
        <w:top w:val="none" w:sz="0" w:space="0" w:color="auto"/>
        <w:left w:val="none" w:sz="0" w:space="0" w:color="auto"/>
        <w:bottom w:val="none" w:sz="0" w:space="0" w:color="auto"/>
        <w:right w:val="none" w:sz="0" w:space="0" w:color="auto"/>
      </w:divBdr>
    </w:div>
    <w:div w:id="1576359477">
      <w:bodyDiv w:val="1"/>
      <w:marLeft w:val="0"/>
      <w:marRight w:val="0"/>
      <w:marTop w:val="0"/>
      <w:marBottom w:val="0"/>
      <w:divBdr>
        <w:top w:val="none" w:sz="0" w:space="0" w:color="auto"/>
        <w:left w:val="none" w:sz="0" w:space="0" w:color="auto"/>
        <w:bottom w:val="none" w:sz="0" w:space="0" w:color="auto"/>
        <w:right w:val="none" w:sz="0" w:space="0" w:color="auto"/>
      </w:divBdr>
    </w:div>
    <w:div w:id="1588883362">
      <w:bodyDiv w:val="1"/>
      <w:marLeft w:val="0"/>
      <w:marRight w:val="0"/>
      <w:marTop w:val="0"/>
      <w:marBottom w:val="0"/>
      <w:divBdr>
        <w:top w:val="none" w:sz="0" w:space="0" w:color="auto"/>
        <w:left w:val="none" w:sz="0" w:space="0" w:color="auto"/>
        <w:bottom w:val="none" w:sz="0" w:space="0" w:color="auto"/>
        <w:right w:val="none" w:sz="0" w:space="0" w:color="auto"/>
      </w:divBdr>
    </w:div>
    <w:div w:id="1609119007">
      <w:bodyDiv w:val="1"/>
      <w:marLeft w:val="0"/>
      <w:marRight w:val="0"/>
      <w:marTop w:val="0"/>
      <w:marBottom w:val="0"/>
      <w:divBdr>
        <w:top w:val="none" w:sz="0" w:space="0" w:color="auto"/>
        <w:left w:val="none" w:sz="0" w:space="0" w:color="auto"/>
        <w:bottom w:val="none" w:sz="0" w:space="0" w:color="auto"/>
        <w:right w:val="none" w:sz="0" w:space="0" w:color="auto"/>
      </w:divBdr>
    </w:div>
    <w:div w:id="1655376674">
      <w:bodyDiv w:val="1"/>
      <w:marLeft w:val="0"/>
      <w:marRight w:val="0"/>
      <w:marTop w:val="0"/>
      <w:marBottom w:val="0"/>
      <w:divBdr>
        <w:top w:val="none" w:sz="0" w:space="0" w:color="auto"/>
        <w:left w:val="none" w:sz="0" w:space="0" w:color="auto"/>
        <w:bottom w:val="none" w:sz="0" w:space="0" w:color="auto"/>
        <w:right w:val="none" w:sz="0" w:space="0" w:color="auto"/>
      </w:divBdr>
    </w:div>
    <w:div w:id="1690792054">
      <w:bodyDiv w:val="1"/>
      <w:marLeft w:val="0"/>
      <w:marRight w:val="0"/>
      <w:marTop w:val="0"/>
      <w:marBottom w:val="0"/>
      <w:divBdr>
        <w:top w:val="none" w:sz="0" w:space="0" w:color="auto"/>
        <w:left w:val="none" w:sz="0" w:space="0" w:color="auto"/>
        <w:bottom w:val="none" w:sz="0" w:space="0" w:color="auto"/>
        <w:right w:val="none" w:sz="0" w:space="0" w:color="auto"/>
      </w:divBdr>
    </w:div>
    <w:div w:id="1713990872">
      <w:bodyDiv w:val="1"/>
      <w:marLeft w:val="0"/>
      <w:marRight w:val="0"/>
      <w:marTop w:val="0"/>
      <w:marBottom w:val="0"/>
      <w:divBdr>
        <w:top w:val="none" w:sz="0" w:space="0" w:color="auto"/>
        <w:left w:val="none" w:sz="0" w:space="0" w:color="auto"/>
        <w:bottom w:val="none" w:sz="0" w:space="0" w:color="auto"/>
        <w:right w:val="none" w:sz="0" w:space="0" w:color="auto"/>
      </w:divBdr>
    </w:div>
    <w:div w:id="1714960724">
      <w:bodyDiv w:val="1"/>
      <w:marLeft w:val="0"/>
      <w:marRight w:val="0"/>
      <w:marTop w:val="0"/>
      <w:marBottom w:val="0"/>
      <w:divBdr>
        <w:top w:val="none" w:sz="0" w:space="0" w:color="auto"/>
        <w:left w:val="none" w:sz="0" w:space="0" w:color="auto"/>
        <w:bottom w:val="none" w:sz="0" w:space="0" w:color="auto"/>
        <w:right w:val="none" w:sz="0" w:space="0" w:color="auto"/>
      </w:divBdr>
    </w:div>
    <w:div w:id="1743791817">
      <w:bodyDiv w:val="1"/>
      <w:marLeft w:val="0"/>
      <w:marRight w:val="0"/>
      <w:marTop w:val="0"/>
      <w:marBottom w:val="0"/>
      <w:divBdr>
        <w:top w:val="none" w:sz="0" w:space="0" w:color="auto"/>
        <w:left w:val="none" w:sz="0" w:space="0" w:color="auto"/>
        <w:bottom w:val="none" w:sz="0" w:space="0" w:color="auto"/>
        <w:right w:val="none" w:sz="0" w:space="0" w:color="auto"/>
      </w:divBdr>
    </w:div>
    <w:div w:id="1769230679">
      <w:bodyDiv w:val="1"/>
      <w:marLeft w:val="0"/>
      <w:marRight w:val="0"/>
      <w:marTop w:val="0"/>
      <w:marBottom w:val="0"/>
      <w:divBdr>
        <w:top w:val="none" w:sz="0" w:space="0" w:color="auto"/>
        <w:left w:val="none" w:sz="0" w:space="0" w:color="auto"/>
        <w:bottom w:val="none" w:sz="0" w:space="0" w:color="auto"/>
        <w:right w:val="none" w:sz="0" w:space="0" w:color="auto"/>
      </w:divBdr>
    </w:div>
    <w:div w:id="1786345527">
      <w:bodyDiv w:val="1"/>
      <w:marLeft w:val="0"/>
      <w:marRight w:val="0"/>
      <w:marTop w:val="0"/>
      <w:marBottom w:val="0"/>
      <w:divBdr>
        <w:top w:val="none" w:sz="0" w:space="0" w:color="auto"/>
        <w:left w:val="none" w:sz="0" w:space="0" w:color="auto"/>
        <w:bottom w:val="none" w:sz="0" w:space="0" w:color="auto"/>
        <w:right w:val="none" w:sz="0" w:space="0" w:color="auto"/>
      </w:divBdr>
    </w:div>
    <w:div w:id="1837529192">
      <w:bodyDiv w:val="1"/>
      <w:marLeft w:val="0"/>
      <w:marRight w:val="0"/>
      <w:marTop w:val="0"/>
      <w:marBottom w:val="0"/>
      <w:divBdr>
        <w:top w:val="none" w:sz="0" w:space="0" w:color="auto"/>
        <w:left w:val="none" w:sz="0" w:space="0" w:color="auto"/>
        <w:bottom w:val="none" w:sz="0" w:space="0" w:color="auto"/>
        <w:right w:val="none" w:sz="0" w:space="0" w:color="auto"/>
      </w:divBdr>
    </w:div>
    <w:div w:id="1867477800">
      <w:bodyDiv w:val="1"/>
      <w:marLeft w:val="0"/>
      <w:marRight w:val="0"/>
      <w:marTop w:val="0"/>
      <w:marBottom w:val="0"/>
      <w:divBdr>
        <w:top w:val="none" w:sz="0" w:space="0" w:color="auto"/>
        <w:left w:val="none" w:sz="0" w:space="0" w:color="auto"/>
        <w:bottom w:val="none" w:sz="0" w:space="0" w:color="auto"/>
        <w:right w:val="none" w:sz="0" w:space="0" w:color="auto"/>
      </w:divBdr>
    </w:div>
    <w:div w:id="1886135994">
      <w:bodyDiv w:val="1"/>
      <w:marLeft w:val="0"/>
      <w:marRight w:val="0"/>
      <w:marTop w:val="0"/>
      <w:marBottom w:val="0"/>
      <w:divBdr>
        <w:top w:val="none" w:sz="0" w:space="0" w:color="auto"/>
        <w:left w:val="none" w:sz="0" w:space="0" w:color="auto"/>
        <w:bottom w:val="none" w:sz="0" w:space="0" w:color="auto"/>
        <w:right w:val="none" w:sz="0" w:space="0" w:color="auto"/>
      </w:divBdr>
    </w:div>
    <w:div w:id="1896891709">
      <w:bodyDiv w:val="1"/>
      <w:marLeft w:val="0"/>
      <w:marRight w:val="0"/>
      <w:marTop w:val="0"/>
      <w:marBottom w:val="0"/>
      <w:divBdr>
        <w:top w:val="none" w:sz="0" w:space="0" w:color="auto"/>
        <w:left w:val="none" w:sz="0" w:space="0" w:color="auto"/>
        <w:bottom w:val="none" w:sz="0" w:space="0" w:color="auto"/>
        <w:right w:val="none" w:sz="0" w:space="0" w:color="auto"/>
      </w:divBdr>
    </w:div>
    <w:div w:id="1916940650">
      <w:bodyDiv w:val="1"/>
      <w:marLeft w:val="0"/>
      <w:marRight w:val="0"/>
      <w:marTop w:val="0"/>
      <w:marBottom w:val="0"/>
      <w:divBdr>
        <w:top w:val="none" w:sz="0" w:space="0" w:color="auto"/>
        <w:left w:val="none" w:sz="0" w:space="0" w:color="auto"/>
        <w:bottom w:val="none" w:sz="0" w:space="0" w:color="auto"/>
        <w:right w:val="none" w:sz="0" w:space="0" w:color="auto"/>
      </w:divBdr>
    </w:div>
    <w:div w:id="1944608590">
      <w:bodyDiv w:val="1"/>
      <w:marLeft w:val="0"/>
      <w:marRight w:val="0"/>
      <w:marTop w:val="0"/>
      <w:marBottom w:val="0"/>
      <w:divBdr>
        <w:top w:val="none" w:sz="0" w:space="0" w:color="auto"/>
        <w:left w:val="none" w:sz="0" w:space="0" w:color="auto"/>
        <w:bottom w:val="none" w:sz="0" w:space="0" w:color="auto"/>
        <w:right w:val="none" w:sz="0" w:space="0" w:color="auto"/>
      </w:divBdr>
    </w:div>
    <w:div w:id="1957638485">
      <w:bodyDiv w:val="1"/>
      <w:marLeft w:val="0"/>
      <w:marRight w:val="0"/>
      <w:marTop w:val="0"/>
      <w:marBottom w:val="0"/>
      <w:divBdr>
        <w:top w:val="none" w:sz="0" w:space="0" w:color="auto"/>
        <w:left w:val="none" w:sz="0" w:space="0" w:color="auto"/>
        <w:bottom w:val="none" w:sz="0" w:space="0" w:color="auto"/>
        <w:right w:val="none" w:sz="0" w:space="0" w:color="auto"/>
      </w:divBdr>
    </w:div>
    <w:div w:id="1960337722">
      <w:bodyDiv w:val="1"/>
      <w:marLeft w:val="0"/>
      <w:marRight w:val="0"/>
      <w:marTop w:val="0"/>
      <w:marBottom w:val="0"/>
      <w:divBdr>
        <w:top w:val="none" w:sz="0" w:space="0" w:color="auto"/>
        <w:left w:val="none" w:sz="0" w:space="0" w:color="auto"/>
        <w:bottom w:val="none" w:sz="0" w:space="0" w:color="auto"/>
        <w:right w:val="none" w:sz="0" w:space="0" w:color="auto"/>
      </w:divBdr>
    </w:div>
    <w:div w:id="1991054108">
      <w:bodyDiv w:val="1"/>
      <w:marLeft w:val="0"/>
      <w:marRight w:val="0"/>
      <w:marTop w:val="0"/>
      <w:marBottom w:val="0"/>
      <w:divBdr>
        <w:top w:val="none" w:sz="0" w:space="0" w:color="auto"/>
        <w:left w:val="none" w:sz="0" w:space="0" w:color="auto"/>
        <w:bottom w:val="none" w:sz="0" w:space="0" w:color="auto"/>
        <w:right w:val="none" w:sz="0" w:space="0" w:color="auto"/>
      </w:divBdr>
    </w:div>
    <w:div w:id="1995377651">
      <w:bodyDiv w:val="1"/>
      <w:marLeft w:val="0"/>
      <w:marRight w:val="0"/>
      <w:marTop w:val="0"/>
      <w:marBottom w:val="0"/>
      <w:divBdr>
        <w:top w:val="none" w:sz="0" w:space="0" w:color="auto"/>
        <w:left w:val="none" w:sz="0" w:space="0" w:color="auto"/>
        <w:bottom w:val="none" w:sz="0" w:space="0" w:color="auto"/>
        <w:right w:val="none" w:sz="0" w:space="0" w:color="auto"/>
      </w:divBdr>
    </w:div>
    <w:div w:id="2002539826">
      <w:bodyDiv w:val="1"/>
      <w:marLeft w:val="0"/>
      <w:marRight w:val="0"/>
      <w:marTop w:val="0"/>
      <w:marBottom w:val="0"/>
      <w:divBdr>
        <w:top w:val="none" w:sz="0" w:space="0" w:color="auto"/>
        <w:left w:val="none" w:sz="0" w:space="0" w:color="auto"/>
        <w:bottom w:val="none" w:sz="0" w:space="0" w:color="auto"/>
        <w:right w:val="none" w:sz="0" w:space="0" w:color="auto"/>
      </w:divBdr>
    </w:div>
    <w:div w:id="2029214289">
      <w:bodyDiv w:val="1"/>
      <w:marLeft w:val="0"/>
      <w:marRight w:val="0"/>
      <w:marTop w:val="0"/>
      <w:marBottom w:val="0"/>
      <w:divBdr>
        <w:top w:val="none" w:sz="0" w:space="0" w:color="auto"/>
        <w:left w:val="none" w:sz="0" w:space="0" w:color="auto"/>
        <w:bottom w:val="none" w:sz="0" w:space="0" w:color="auto"/>
        <w:right w:val="none" w:sz="0" w:space="0" w:color="auto"/>
      </w:divBdr>
    </w:div>
    <w:div w:id="2049597692">
      <w:bodyDiv w:val="1"/>
      <w:marLeft w:val="0"/>
      <w:marRight w:val="0"/>
      <w:marTop w:val="0"/>
      <w:marBottom w:val="0"/>
      <w:divBdr>
        <w:top w:val="none" w:sz="0" w:space="0" w:color="auto"/>
        <w:left w:val="none" w:sz="0" w:space="0" w:color="auto"/>
        <w:bottom w:val="none" w:sz="0" w:space="0" w:color="auto"/>
        <w:right w:val="none" w:sz="0" w:space="0" w:color="auto"/>
      </w:divBdr>
    </w:div>
    <w:div w:id="2060780894">
      <w:bodyDiv w:val="1"/>
      <w:marLeft w:val="0"/>
      <w:marRight w:val="0"/>
      <w:marTop w:val="0"/>
      <w:marBottom w:val="0"/>
      <w:divBdr>
        <w:top w:val="none" w:sz="0" w:space="0" w:color="auto"/>
        <w:left w:val="none" w:sz="0" w:space="0" w:color="auto"/>
        <w:bottom w:val="none" w:sz="0" w:space="0" w:color="auto"/>
        <w:right w:val="none" w:sz="0" w:space="0" w:color="auto"/>
      </w:divBdr>
    </w:div>
    <w:div w:id="2063824655">
      <w:bodyDiv w:val="1"/>
      <w:marLeft w:val="0"/>
      <w:marRight w:val="0"/>
      <w:marTop w:val="0"/>
      <w:marBottom w:val="0"/>
      <w:divBdr>
        <w:top w:val="none" w:sz="0" w:space="0" w:color="auto"/>
        <w:left w:val="none" w:sz="0" w:space="0" w:color="auto"/>
        <w:bottom w:val="none" w:sz="0" w:space="0" w:color="auto"/>
        <w:right w:val="none" w:sz="0" w:space="0" w:color="auto"/>
      </w:divBdr>
    </w:div>
    <w:div w:id="208903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s.geonames.org/6290252/" TargetMode="External"/><Relationship Id="rId18" Type="http://schemas.openxmlformats.org/officeDocument/2006/relationships/hyperlink" Target="http://sws.geonames.org/6290252/" TargetMode="External"/><Relationship Id="rId26" Type="http://schemas.openxmlformats.org/officeDocument/2006/relationships/hyperlink" Target="https://test.at1848" TargetMode="External"/><Relationship Id="rId39" Type="http://schemas.openxmlformats.org/officeDocument/2006/relationships/header" Target="header1.xml"/><Relationship Id="rId21" Type="http://schemas.openxmlformats.org/officeDocument/2006/relationships/hyperlink" Target="http://https://mpr.acdh.oeaw.ac.at/apis/api2/entity/3229/" TargetMode="External"/><Relationship Id="rId34" Type="http://schemas.openxmlformats.org/officeDocument/2006/relationships/hyperlink" Target="http://d-nb.info/gnd/121117-1" TargetMode="External"/><Relationship Id="rId42" Type="http://schemas.openxmlformats.org/officeDocument/2006/relationships/hyperlink" Target="http://sws.geonames.org/32776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geonames.org/6290252/" TargetMode="External"/><Relationship Id="rId29" Type="http://schemas.openxmlformats.org/officeDocument/2006/relationships/hyperlink" Target="http://https://mpr.acdh.oeaw.ac.at/objects/id//apis/api2/entity/31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s.geonames.org/3277605/" TargetMode="External"/><Relationship Id="rId24" Type="http://schemas.openxmlformats.org/officeDocument/2006/relationships/hyperlink" Target="http://https/mpr.acdh.oeaw.ac.at/apis/api2/entity/3229/" TargetMode="External"/><Relationship Id="rId32" Type="http://schemas.openxmlformats.org/officeDocument/2006/relationships/hyperlink" Target="http://d-nb.info/gnd/5166819-1" TargetMode="External"/><Relationship Id="rId37" Type="http://schemas.openxmlformats.org/officeDocument/2006/relationships/hyperlink" Target="http://d-nb.info/gnd/127539-2" TargetMode="External"/><Relationship Id="rId40" Type="http://schemas.openxmlformats.org/officeDocument/2006/relationships/footer" Target="footer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ttps://mpr.acdh.oeaw.ac.at/apis/api2/entity/3227/" TargetMode="External"/><Relationship Id="rId23" Type="http://schemas.openxmlformats.org/officeDocument/2006/relationships/hyperlink" Target="http://sws.geonames.org/2782113/" TargetMode="External"/><Relationship Id="rId28" Type="http://schemas.openxmlformats.org/officeDocument/2006/relationships/hyperlink" Target="http://d-nb.info/gnd/41998-9" TargetMode="External"/><Relationship Id="rId36" Type="http://schemas.openxmlformats.org/officeDocument/2006/relationships/hyperlink" Target="http://d-nb.info/gnd/605016-5" TargetMode="External"/><Relationship Id="rId10" Type="http://schemas.openxmlformats.org/officeDocument/2006/relationships/hyperlink" Target="http://sws.geonames.org/6290252/" TargetMode="External"/><Relationship Id="rId19" Type="http://schemas.openxmlformats.org/officeDocument/2006/relationships/hyperlink" Target="http://https://mpr.acdh.oeaw.ac.at/apis/api2/entity/3227/" TargetMode="External"/><Relationship Id="rId31" Type="http://schemas.openxmlformats.org/officeDocument/2006/relationships/hyperlink" Target="http://d-nb.info/gnd/5166811-7" TargetMode="External"/><Relationship Id="rId44" Type="http://schemas.openxmlformats.org/officeDocument/2006/relationships/hyperlink" Target="http://d-nb.info/gnd/4066009-6" TargetMode="External"/><Relationship Id="rId4" Type="http://schemas.openxmlformats.org/officeDocument/2006/relationships/settings" Target="settings.xml"/><Relationship Id="rId9" Type="http://schemas.openxmlformats.org/officeDocument/2006/relationships/hyperlink" Target="http://sws.geonames.org/792680/" TargetMode="External"/><Relationship Id="rId14" Type="http://schemas.openxmlformats.org/officeDocument/2006/relationships/hyperlink" Target="http://https://mpr.acdh.oeaw.ac.at/apis/api2/entity/3227/" TargetMode="External"/><Relationship Id="rId22" Type="http://schemas.openxmlformats.org/officeDocument/2006/relationships/hyperlink" Target="http://sws.geonames.org/2782113/" TargetMode="External"/><Relationship Id="rId27" Type="http://schemas.openxmlformats.org/officeDocument/2006/relationships/hyperlink" Target="https://test.at1444" TargetMode="External"/><Relationship Id="rId30" Type="http://schemas.openxmlformats.org/officeDocument/2006/relationships/hyperlink" Target="http://d-nb.info/gnd/5167019-7" TargetMode="External"/><Relationship Id="rId35" Type="http://schemas.openxmlformats.org/officeDocument/2006/relationships/hyperlink" Target="http://https://mpr.acdh.oeaw.ac.at/objects/id//apis/api2/entity/3067/" TargetMode="External"/><Relationship Id="rId43" Type="http://schemas.openxmlformats.org/officeDocument/2006/relationships/hyperlink" Target="http://sws.geonames.org/6290252/" TargetMode="External"/><Relationship Id="rId8" Type="http://schemas.openxmlformats.org/officeDocument/2006/relationships/hyperlink" Target="http://sws.geonames.org/3277605/" TargetMode="External"/><Relationship Id="rId3" Type="http://schemas.openxmlformats.org/officeDocument/2006/relationships/styles" Target="styles.xml"/><Relationship Id="rId12" Type="http://schemas.openxmlformats.org/officeDocument/2006/relationships/hyperlink" Target="http://sws.geonames.org/6290252/" TargetMode="External"/><Relationship Id="rId17" Type="http://schemas.openxmlformats.org/officeDocument/2006/relationships/hyperlink" Target="http://https://mpr.acdh.oeaw.ac.at/apis/api2/entity/3227/" TargetMode="External"/><Relationship Id="rId25" Type="http://schemas.openxmlformats.org/officeDocument/2006/relationships/hyperlink" Target="http://sws.geonames.org/2782113/" TargetMode="External"/><Relationship Id="rId33" Type="http://schemas.openxmlformats.org/officeDocument/2006/relationships/hyperlink" Target="http://d-nb.info/gnd/253964-0" TargetMode="External"/><Relationship Id="rId38" Type="http://schemas.openxmlformats.org/officeDocument/2006/relationships/hyperlink" Target="http://sws.geonames.org/2782113/" TargetMode="External"/><Relationship Id="rId46" Type="http://schemas.openxmlformats.org/officeDocument/2006/relationships/theme" Target="theme/theme1.xml"/><Relationship Id="rId20" Type="http://schemas.openxmlformats.org/officeDocument/2006/relationships/hyperlink" Target="http://https://mpr.acdh.oeaw.ac.at/apis/api2/entity/3229/" TargetMode="External"/><Relationship Id="rId41" Type="http://schemas.openxmlformats.org/officeDocument/2006/relationships/hyperlink" Target="http://d-nb.info/gnd/11904474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https://mpr.acdh.oeaw.ac.at/apis/api2/entity/3231/" TargetMode="External"/><Relationship Id="rId13" Type="http://schemas.openxmlformats.org/officeDocument/2006/relationships/hyperlink" Target="http://d-nb.info/gnd/130173401" TargetMode="External"/><Relationship Id="rId3" Type="http://schemas.openxmlformats.org/officeDocument/2006/relationships/hyperlink" Target="http://d-nb.info/gnd/12355733X" TargetMode="External"/><Relationship Id="rId7" Type="http://schemas.openxmlformats.org/officeDocument/2006/relationships/hyperlink" Target="http://sws.geonames.org/6290252/" TargetMode="External"/><Relationship Id="rId12" Type="http://schemas.openxmlformats.org/officeDocument/2006/relationships/hyperlink" Target="http://https://mpr.acdh.oeaw.ac.at/apis/api2/entity/3232/" TargetMode="External"/><Relationship Id="rId2" Type="http://schemas.openxmlformats.org/officeDocument/2006/relationships/hyperlink" Target="http://sws.geonames.org/3191281/" TargetMode="External"/><Relationship Id="rId1" Type="http://schemas.openxmlformats.org/officeDocument/2006/relationships/hyperlink" Target="http://d-nb.info/gnd/1147500363" TargetMode="External"/><Relationship Id="rId6" Type="http://schemas.openxmlformats.org/officeDocument/2006/relationships/hyperlink" Target="http://d-nb.info/gnd/101847173" TargetMode="External"/><Relationship Id="rId11" Type="http://schemas.openxmlformats.org/officeDocument/2006/relationships/hyperlink" Target="http://d-nb.info/gnd/101847173" TargetMode="External"/><Relationship Id="rId5" Type="http://schemas.openxmlformats.org/officeDocument/2006/relationships/hyperlink" Target="http://sws.geonames.org/3191281/" TargetMode="External"/><Relationship Id="rId10" Type="http://schemas.openxmlformats.org/officeDocument/2006/relationships/hyperlink" Target="http://sws.geonames.org/783920/" TargetMode="External"/><Relationship Id="rId4" Type="http://schemas.openxmlformats.org/officeDocument/2006/relationships/hyperlink" Target="http://d-nb.info/gnd/119044749" TargetMode="External"/><Relationship Id="rId9" Type="http://schemas.openxmlformats.org/officeDocument/2006/relationships/hyperlink" Target="http://d-nb.info/gnd/101847173" TargetMode="External"/><Relationship Id="rId14" Type="http://schemas.openxmlformats.org/officeDocument/2006/relationships/hyperlink" Target="https://test.at18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N:\MRP.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DAF259-CE8B-4918-816C-4E3F80D00C33}">
  <we:reference id="80a51f78-d7b0-468d-97b5-bb6e2a8b36de" version="0.1.0.0" store="\\w07ds2\INZ_Share$\"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14D78-C92D-4C00-94EF-7256C2EA9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MRP</Template>
  <TotalTime>0</TotalTime>
  <Pages>1</Pages>
  <Words>2340</Words>
  <Characters>14744</Characters>
  <Application>Microsoft Office Word</Application>
  <DocSecurity>0</DocSecurity>
  <Lines>122</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Matthias</dc:creator>
  <cp:lastModifiedBy>Fischer-Nebmaier, Wladimir</cp:lastModifiedBy>
  <cp:revision>31</cp:revision>
  <cp:lastPrinted>2016-05-02T07:55:00Z</cp:lastPrinted>
  <dcterms:created xsi:type="dcterms:W3CDTF">2015-05-18T12:11:00Z</dcterms:created>
  <dcterms:modified xsi:type="dcterms:W3CDTF">2019-09-13T13:24:00Z</dcterms:modified>
</cp:coreProperties>
</file>