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0"/>
        <w:gridCol w:w="277"/>
        <w:gridCol w:w="3015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F00083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 w:rsidRPr="00F00083">
              <w:rPr>
                <w:color w:val="000000"/>
              </w:rPr>
              <w:t>канд. экон.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F0008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 w:rsidRPr="00F00083">
              <w:rPr>
                <w:color w:val="000000"/>
              </w:rPr>
              <w:t xml:space="preserve">Г.С. </w:t>
            </w:r>
            <w:proofErr w:type="spellStart"/>
            <w:r w:rsidRPr="00F00083">
              <w:rPr>
                <w:color w:val="000000"/>
              </w:rPr>
              <w:t>Армашова</w:t>
            </w:r>
            <w:proofErr w:type="spellEnd"/>
            <w:r w:rsidR="00F00083">
              <w:rPr>
                <w:color w:val="000000"/>
              </w:rPr>
              <w:t>-</w:t>
            </w:r>
            <w:bookmarkStart w:id="0" w:name="_GoBack"/>
            <w:bookmarkEnd w:id="0"/>
            <w:r w:rsidRPr="00F00083">
              <w:rPr>
                <w:color w:val="000000"/>
              </w:rPr>
              <w:t>Тельник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ПРАКТИЧЕСКОЙ РАБОТЕ 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Выбор ОПФ: сравнительный анализ трёх бизнес-идей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>
              <w:rPr>
                <w:color w:val="000000"/>
                <w:sz w:val="28"/>
                <w:szCs w:val="24"/>
                <w:lang w:val="ru-RU"/>
              </w:rPr>
              <w:t>по курсу: Основы бизнеса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F00083" w:rsidRDefault="00F00083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color w:val="000000"/>
                <w:sz w:val="28"/>
              </w:rPr>
            </w:pPr>
          </w:p>
          <w:p w:rsidR="00F00083" w:rsidRPr="00F00083" w:rsidRDefault="00F00083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 w:rsidRPr="00F00083"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Pr="00F00083" w:rsidRDefault="00413AAB" w:rsidP="00F00083">
            <w:pPr>
              <w:widowControl w:val="0"/>
              <w:autoSpaceDE w:val="0"/>
              <w:autoSpaceDN w:val="0"/>
              <w:adjustRightInd w:val="0"/>
              <w:jc w:val="center"/>
              <w:rPr>
                <w:color w:val="000000"/>
              </w:rPr>
            </w:pPr>
            <w:r w:rsidRPr="00F00083">
              <w:rPr>
                <w:color w:val="000000"/>
              </w:rPr>
              <w:t>Г.В. Буренков</w:t>
            </w:r>
          </w:p>
          <w:p w:rsidR="00F00083" w:rsidRPr="00F00083" w:rsidRDefault="00F00083" w:rsidP="00F00083">
            <w:pPr>
              <w:widowControl w:val="0"/>
              <w:autoSpaceDE w:val="0"/>
              <w:autoSpaceDN w:val="0"/>
              <w:adjustRightInd w:val="0"/>
              <w:jc w:val="center"/>
            </w:pPr>
            <w:r w:rsidRPr="00F00083">
              <w:t xml:space="preserve">И.А. </w:t>
            </w:r>
            <w:proofErr w:type="spellStart"/>
            <w:r w:rsidRPr="00F00083">
              <w:t>Лаврешин</w:t>
            </w:r>
            <w:proofErr w:type="spellEnd"/>
          </w:p>
          <w:p w:rsidR="00F00083" w:rsidRPr="00F00083" w:rsidRDefault="00F00083" w:rsidP="00F00083">
            <w:pPr>
              <w:widowControl w:val="0"/>
              <w:autoSpaceDE w:val="0"/>
              <w:autoSpaceDN w:val="0"/>
              <w:adjustRightInd w:val="0"/>
              <w:jc w:val="center"/>
            </w:pPr>
            <w:r w:rsidRPr="00F00083">
              <w:t xml:space="preserve">Р.Р. </w:t>
            </w:r>
            <w:proofErr w:type="spellStart"/>
            <w:r w:rsidRPr="00F00083">
              <w:t>Покало</w:t>
            </w:r>
            <w:proofErr w:type="spellEnd"/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B44FAD" w:rsidRDefault="00B44FAD">
      <w:pPr>
        <w:sectPr w:rsidR="00B44FAD">
          <w:footerReference w:type="default" r:id="rId6"/>
          <w:type w:val="continuous"/>
          <w:pgSz w:w="11906" w:h="16838"/>
          <w:pgMar w:top="1134" w:right="567" w:bottom="1134" w:left="1701" w:header="720" w:footer="720" w:gutter="0"/>
          <w:cols w:space="720"/>
          <w:noEndnote/>
        </w:sectPr>
      </w:pPr>
    </w:p>
    <w:p w:rsidR="00B44FAD" w:rsidRDefault="00826E42">
      <w:pPr>
        <w:keepNext/>
        <w:spacing w:after="240" w:line="360" w:lineRule="auto"/>
        <w:jc w:val="center"/>
      </w:pPr>
      <w:r>
        <w:rPr>
          <w:b/>
          <w:color w:val="000000"/>
        </w:rPr>
        <w:lastRenderedPageBreak/>
        <w:t>СОДЕРЖАНИЕ</w:t>
      </w:r>
    </w:p>
    <w:p w:rsidR="00B44FAD" w:rsidRDefault="00826E42">
      <w:pPr>
        <w:tabs>
          <w:tab w:val="right" w:leader="dot" w:pos="9921"/>
        </w:tabs>
        <w:spacing w:line="360" w:lineRule="auto"/>
      </w:pPr>
      <w:r>
        <w:rPr>
          <w:color w:val="000000"/>
        </w:rPr>
        <w:t>ВВЕДЕНИЕ</w:t>
      </w:r>
      <w:r>
        <w:tab/>
      </w:r>
      <w:r>
        <w:rPr>
          <w:color w:val="000000"/>
        </w:rPr>
        <w:t>3</w:t>
      </w:r>
    </w:p>
    <w:p w:rsidR="00B44FAD" w:rsidRDefault="00826E42">
      <w:pPr>
        <w:tabs>
          <w:tab w:val="right" w:leader="dot" w:pos="9921"/>
        </w:tabs>
        <w:spacing w:line="360" w:lineRule="auto"/>
      </w:pPr>
      <w:r>
        <w:rPr>
          <w:color w:val="000000"/>
        </w:rPr>
        <w:t>1 Цель работы</w:t>
      </w:r>
      <w:r>
        <w:tab/>
      </w:r>
      <w:r>
        <w:rPr>
          <w:color w:val="000000"/>
        </w:rPr>
        <w:t>4</w:t>
      </w:r>
    </w:p>
    <w:p w:rsidR="00B44FAD" w:rsidRDefault="00826E42">
      <w:pPr>
        <w:tabs>
          <w:tab w:val="right" w:leader="dot" w:pos="9921"/>
        </w:tabs>
        <w:spacing w:line="360" w:lineRule="auto"/>
      </w:pPr>
      <w:r>
        <w:rPr>
          <w:color w:val="000000"/>
        </w:rPr>
        <w:t>2 Характеристика организационно-правовых форм</w:t>
      </w:r>
      <w:r>
        <w:tab/>
      </w:r>
      <w:r>
        <w:rPr>
          <w:color w:val="000000"/>
        </w:rPr>
        <w:t>5</w:t>
      </w:r>
    </w:p>
    <w:p w:rsidR="00B44FAD" w:rsidRDefault="00826E42">
      <w:pPr>
        <w:tabs>
          <w:tab w:val="right" w:leader="dot" w:pos="9921"/>
        </w:tabs>
        <w:spacing w:line="360" w:lineRule="auto"/>
        <w:ind w:left="425"/>
      </w:pPr>
      <w:r>
        <w:rPr>
          <w:color w:val="000000"/>
        </w:rPr>
        <w:t>2.1 Индивидуальный предприниматель</w:t>
      </w:r>
      <w:r>
        <w:tab/>
      </w:r>
      <w:r>
        <w:rPr>
          <w:color w:val="000000"/>
        </w:rPr>
        <w:t>5</w:t>
      </w:r>
    </w:p>
    <w:p w:rsidR="00B44FAD" w:rsidRDefault="00826E42">
      <w:pPr>
        <w:tabs>
          <w:tab w:val="right" w:leader="dot" w:pos="9921"/>
        </w:tabs>
        <w:spacing w:line="360" w:lineRule="auto"/>
        <w:ind w:left="425"/>
      </w:pPr>
      <w:r>
        <w:rPr>
          <w:color w:val="000000"/>
        </w:rPr>
        <w:t>2.2 Общество с ограниченной ответственностью</w:t>
      </w:r>
      <w:r>
        <w:tab/>
      </w:r>
      <w:r>
        <w:rPr>
          <w:color w:val="000000"/>
        </w:rPr>
        <w:t>5</w:t>
      </w:r>
    </w:p>
    <w:p w:rsidR="00B44FAD" w:rsidRDefault="00826E42">
      <w:pPr>
        <w:tabs>
          <w:tab w:val="right" w:leader="dot" w:pos="9921"/>
        </w:tabs>
        <w:spacing w:line="360" w:lineRule="auto"/>
        <w:ind w:left="425"/>
      </w:pPr>
      <w:r>
        <w:rPr>
          <w:color w:val="000000"/>
        </w:rPr>
        <w:t>2.3 Непубличное акционерное общество</w:t>
      </w:r>
      <w:r>
        <w:tab/>
      </w:r>
      <w:r>
        <w:rPr>
          <w:color w:val="000000"/>
        </w:rPr>
        <w:t>5</w:t>
      </w:r>
    </w:p>
    <w:p w:rsidR="00B44FAD" w:rsidRDefault="00826E42">
      <w:pPr>
        <w:tabs>
          <w:tab w:val="right" w:leader="dot" w:pos="9921"/>
        </w:tabs>
        <w:spacing w:line="360" w:lineRule="auto"/>
        <w:ind w:left="425"/>
      </w:pPr>
      <w:r>
        <w:rPr>
          <w:color w:val="000000"/>
        </w:rPr>
        <w:t>2.4 Налог на профессиональный доход</w:t>
      </w:r>
      <w:r>
        <w:tab/>
      </w:r>
      <w:r>
        <w:rPr>
          <w:color w:val="000000"/>
        </w:rPr>
        <w:t>5</w:t>
      </w:r>
    </w:p>
    <w:p w:rsidR="00B44FAD" w:rsidRDefault="00826E42">
      <w:pPr>
        <w:tabs>
          <w:tab w:val="right" w:leader="dot" w:pos="9921"/>
        </w:tabs>
        <w:spacing w:line="360" w:lineRule="auto"/>
      </w:pPr>
      <w:r>
        <w:rPr>
          <w:color w:val="000000"/>
        </w:rPr>
        <w:t>3 Исходные данные трёх бизне</w:t>
      </w:r>
      <w:r>
        <w:rPr>
          <w:color w:val="000000"/>
        </w:rPr>
        <w:t>с-идей</w:t>
      </w:r>
      <w:r>
        <w:tab/>
      </w:r>
      <w:r>
        <w:rPr>
          <w:color w:val="000000"/>
        </w:rPr>
        <w:t>7</w:t>
      </w:r>
    </w:p>
    <w:p w:rsidR="00B44FAD" w:rsidRDefault="00826E42">
      <w:pPr>
        <w:tabs>
          <w:tab w:val="right" w:leader="dot" w:pos="9921"/>
        </w:tabs>
        <w:spacing w:line="360" w:lineRule="auto"/>
      </w:pPr>
      <w:r>
        <w:rPr>
          <w:color w:val="000000"/>
        </w:rPr>
        <w:t>4 Сравнительный анализ ОПФ</w:t>
      </w:r>
      <w:r>
        <w:tab/>
      </w:r>
      <w:r>
        <w:rPr>
          <w:color w:val="000000"/>
        </w:rPr>
        <w:t>8</w:t>
      </w:r>
    </w:p>
    <w:p w:rsidR="00B44FAD" w:rsidRDefault="00826E42">
      <w:pPr>
        <w:tabs>
          <w:tab w:val="right" w:leader="dot" w:pos="9921"/>
        </w:tabs>
        <w:spacing w:line="360" w:lineRule="auto"/>
        <w:ind w:left="425"/>
      </w:pPr>
      <w:r>
        <w:rPr>
          <w:color w:val="000000"/>
        </w:rPr>
        <w:t>4.1 Ателье «Подошва за 40 минут»</w:t>
      </w:r>
      <w:r>
        <w:tab/>
      </w:r>
      <w:r>
        <w:rPr>
          <w:color w:val="000000"/>
        </w:rPr>
        <w:t>8</w:t>
      </w:r>
    </w:p>
    <w:p w:rsidR="00B44FAD" w:rsidRDefault="00826E42">
      <w:pPr>
        <w:tabs>
          <w:tab w:val="right" w:leader="dot" w:pos="9921"/>
        </w:tabs>
        <w:spacing w:line="360" w:lineRule="auto"/>
        <w:ind w:left="425"/>
      </w:pPr>
      <w:r>
        <w:rPr>
          <w:color w:val="000000"/>
        </w:rPr>
        <w:t>4.2 Онлайн-школа «Гав-класс»</w:t>
      </w:r>
      <w:r>
        <w:tab/>
      </w:r>
      <w:r>
        <w:rPr>
          <w:color w:val="000000"/>
        </w:rPr>
        <w:t>8</w:t>
      </w:r>
    </w:p>
    <w:p w:rsidR="00B44FAD" w:rsidRDefault="00826E42">
      <w:pPr>
        <w:tabs>
          <w:tab w:val="right" w:leader="dot" w:pos="9921"/>
        </w:tabs>
        <w:spacing w:line="360" w:lineRule="auto"/>
        <w:ind w:left="425"/>
      </w:pPr>
      <w:r>
        <w:rPr>
          <w:color w:val="000000"/>
        </w:rPr>
        <w:t>4.3 Производство «Жар-короб»</w:t>
      </w:r>
      <w:r>
        <w:tab/>
      </w:r>
      <w:r>
        <w:rPr>
          <w:color w:val="000000"/>
        </w:rPr>
        <w:t>9</w:t>
      </w:r>
    </w:p>
    <w:p w:rsidR="00B44FAD" w:rsidRDefault="00826E42">
      <w:pPr>
        <w:tabs>
          <w:tab w:val="right" w:leader="dot" w:pos="9921"/>
        </w:tabs>
        <w:spacing w:line="360" w:lineRule="auto"/>
      </w:pPr>
      <w:r>
        <w:rPr>
          <w:color w:val="000000"/>
        </w:rPr>
        <w:t>5 Схема выбора ОПФ</w:t>
      </w:r>
      <w:r>
        <w:tab/>
      </w:r>
      <w:r>
        <w:rPr>
          <w:color w:val="000000"/>
        </w:rPr>
        <w:t>10</w:t>
      </w:r>
    </w:p>
    <w:p w:rsidR="00B44FAD" w:rsidRDefault="00826E42">
      <w:pPr>
        <w:tabs>
          <w:tab w:val="right" w:leader="dot" w:pos="9921"/>
        </w:tabs>
        <w:spacing w:line="360" w:lineRule="auto"/>
      </w:pPr>
      <w:r>
        <w:rPr>
          <w:color w:val="000000"/>
        </w:rPr>
        <w:t>6 Обоснование выбора</w:t>
      </w:r>
      <w:r>
        <w:tab/>
      </w:r>
      <w:r>
        <w:rPr>
          <w:color w:val="000000"/>
        </w:rPr>
        <w:t>11</w:t>
      </w:r>
    </w:p>
    <w:p w:rsidR="00B44FAD" w:rsidRDefault="00826E42">
      <w:pPr>
        <w:tabs>
          <w:tab w:val="right" w:leader="dot" w:pos="9921"/>
        </w:tabs>
        <w:spacing w:line="360" w:lineRule="auto"/>
        <w:ind w:left="425"/>
      </w:pPr>
      <w:r>
        <w:rPr>
          <w:color w:val="000000"/>
        </w:rPr>
        <w:t>6.1 Ателье — ИП</w:t>
      </w:r>
      <w:r>
        <w:tab/>
      </w:r>
      <w:r>
        <w:rPr>
          <w:color w:val="000000"/>
        </w:rPr>
        <w:t>11</w:t>
      </w:r>
    </w:p>
    <w:p w:rsidR="00B44FAD" w:rsidRDefault="00826E42">
      <w:pPr>
        <w:tabs>
          <w:tab w:val="right" w:leader="dot" w:pos="9921"/>
        </w:tabs>
        <w:spacing w:line="360" w:lineRule="auto"/>
        <w:ind w:left="425"/>
      </w:pPr>
      <w:r>
        <w:rPr>
          <w:color w:val="000000"/>
        </w:rPr>
        <w:t>6.2 Онлайн-школа — ООО</w:t>
      </w:r>
      <w:r>
        <w:tab/>
      </w:r>
      <w:r>
        <w:rPr>
          <w:color w:val="000000"/>
        </w:rPr>
        <w:t>11</w:t>
      </w:r>
    </w:p>
    <w:p w:rsidR="00B44FAD" w:rsidRDefault="00826E42">
      <w:pPr>
        <w:tabs>
          <w:tab w:val="right" w:leader="dot" w:pos="9921"/>
        </w:tabs>
        <w:spacing w:line="360" w:lineRule="auto"/>
        <w:ind w:left="425"/>
      </w:pPr>
      <w:r>
        <w:rPr>
          <w:color w:val="000000"/>
        </w:rPr>
        <w:t>6.3 Производство — ООО</w:t>
      </w:r>
      <w:r>
        <w:tab/>
      </w:r>
      <w:r>
        <w:rPr>
          <w:color w:val="000000"/>
        </w:rPr>
        <w:t>11</w:t>
      </w:r>
    </w:p>
    <w:p w:rsidR="00B44FAD" w:rsidRDefault="00826E42">
      <w:pPr>
        <w:tabs>
          <w:tab w:val="right" w:leader="dot" w:pos="9921"/>
        </w:tabs>
        <w:spacing w:line="360" w:lineRule="auto"/>
      </w:pPr>
      <w:r>
        <w:rPr>
          <w:color w:val="000000"/>
        </w:rPr>
        <w:t xml:space="preserve">7 </w:t>
      </w:r>
      <w:r>
        <w:rPr>
          <w:color w:val="000000"/>
        </w:rPr>
        <w:t>Риски выбранных форм</w:t>
      </w:r>
      <w:r>
        <w:tab/>
      </w:r>
      <w:r>
        <w:rPr>
          <w:color w:val="000000"/>
        </w:rPr>
        <w:t>13</w:t>
      </w:r>
    </w:p>
    <w:p w:rsidR="00B44FAD" w:rsidRDefault="00826E42">
      <w:pPr>
        <w:tabs>
          <w:tab w:val="right" w:leader="dot" w:pos="9921"/>
        </w:tabs>
        <w:spacing w:line="360" w:lineRule="auto"/>
      </w:pPr>
      <w:r>
        <w:rPr>
          <w:color w:val="000000"/>
        </w:rPr>
        <w:t>8 Ответ на контрольный вопрос</w:t>
      </w:r>
      <w:r>
        <w:tab/>
      </w:r>
      <w:r>
        <w:rPr>
          <w:color w:val="000000"/>
        </w:rPr>
        <w:t>14</w:t>
      </w:r>
    </w:p>
    <w:p w:rsidR="00B44FAD" w:rsidRDefault="00826E42">
      <w:pPr>
        <w:tabs>
          <w:tab w:val="right" w:leader="dot" w:pos="9921"/>
        </w:tabs>
        <w:spacing w:line="360" w:lineRule="auto"/>
      </w:pPr>
      <w:r>
        <w:rPr>
          <w:color w:val="000000"/>
        </w:rPr>
        <w:t>ЗАКЛЮЧЕНИЕ</w:t>
      </w:r>
      <w:r>
        <w:tab/>
      </w:r>
      <w:r>
        <w:rPr>
          <w:color w:val="000000"/>
        </w:rPr>
        <w:t>15</w:t>
      </w:r>
    </w:p>
    <w:p w:rsidR="00B44FAD" w:rsidRDefault="00826E42">
      <w:pPr>
        <w:tabs>
          <w:tab w:val="right" w:leader="dot" w:pos="9921"/>
        </w:tabs>
        <w:spacing w:line="360" w:lineRule="auto"/>
      </w:pPr>
      <w:r>
        <w:rPr>
          <w:color w:val="000000"/>
        </w:rPr>
        <w:t>СПИСОК ИСПОЛЬЗОВАННЫХ ИСТОЧНИКОВ</w:t>
      </w:r>
      <w:r>
        <w:tab/>
      </w:r>
      <w:r>
        <w:rPr>
          <w:color w:val="000000"/>
        </w:rPr>
        <w:t>16</w:t>
      </w:r>
    </w:p>
    <w:p w:rsidR="00B44FAD" w:rsidRDefault="00826E42">
      <w:r>
        <w:br w:type="page"/>
      </w:r>
    </w:p>
    <w:p w:rsidR="00B44FAD" w:rsidRDefault="00826E42">
      <w:pPr>
        <w:keepNext/>
        <w:spacing w:after="240" w:line="360" w:lineRule="auto"/>
        <w:jc w:val="center"/>
      </w:pPr>
      <w:r>
        <w:rPr>
          <w:b/>
          <w:color w:val="000000"/>
        </w:rPr>
        <w:lastRenderedPageBreak/>
        <w:t>ВВЕДЕНИЕ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 xml:space="preserve">Организационно-правовая форма задаёт, кто отвечает по долгам, как входят деньги инвестора, можно ли нанять персонал и как выглядит бизнес </w:t>
      </w:r>
      <w:r>
        <w:rPr>
          <w:color w:val="000000"/>
        </w:rPr>
        <w:t>для банка и крупного покупателя. Ошибка на старте либо запрещает модель целиком (самозанятость при штате и обороте выше лимита), либо навешивает реестр акционеров на мастерскую из трёх человек.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В работе сравниваются четыре формы: индивидуальный предпринима</w:t>
      </w:r>
      <w:r>
        <w:rPr>
          <w:color w:val="000000"/>
        </w:rPr>
        <w:t>тель, общество с ограниченной ответственностью, непубличное акционерное общество и режим налога на профессиональный доход. Три бизнес-идеи индивидуализированы и не совпадают с шаблоном задания: сервис, онлайн-школа и производство.</w:t>
      </w:r>
    </w:p>
    <w:p w:rsidR="00B44FAD" w:rsidRDefault="00826E42">
      <w:r>
        <w:br w:type="page"/>
      </w:r>
    </w:p>
    <w:p w:rsidR="00B44FAD" w:rsidRDefault="00826E42">
      <w:pPr>
        <w:keepNext/>
        <w:spacing w:after="120" w:line="360" w:lineRule="auto"/>
        <w:ind w:firstLine="709"/>
      </w:pPr>
      <w:r>
        <w:rPr>
          <w:b/>
          <w:color w:val="000000"/>
        </w:rPr>
        <w:lastRenderedPageBreak/>
        <w:t>1 Цель работы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Цель рабо</w:t>
      </w:r>
      <w:r>
        <w:rPr>
          <w:color w:val="000000"/>
        </w:rPr>
        <w:t>ты — сопоставить характеристики четырёх организационно-правовых форм и выбрать оптимальную форму под каждую из трёх бизнес-моделей.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Задачи работы: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1) для каждой идеи построить таблицу сравнения четырёх форм по десяти критериям (ответственность, регистрация</w:t>
      </w:r>
      <w:r>
        <w:rPr>
          <w:color w:val="000000"/>
        </w:rPr>
        <w:t>, инвестиции, бухучёт, налоги, масштабируемость, штат, лимит выручки, число учредителей, восприятие контрагентами);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2) выбрать форму и дать четыре–пять аргументов по каждой идее;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3) указать два–три риска выбранной формы и способы их снижения;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4) ответить н</w:t>
      </w:r>
      <w:r>
        <w:rPr>
          <w:color w:val="000000"/>
        </w:rPr>
        <w:t>а контрольный вопрос: в каком случае акционерное общество предпочтительнее общества с ограниченной ответственностью.</w:t>
      </w:r>
    </w:p>
    <w:p w:rsidR="00B44FAD" w:rsidRDefault="00826E42">
      <w:r>
        <w:br w:type="page"/>
      </w:r>
    </w:p>
    <w:p w:rsidR="00B44FAD" w:rsidRDefault="00826E42">
      <w:pPr>
        <w:keepNext/>
        <w:spacing w:after="120" w:line="360" w:lineRule="auto"/>
        <w:ind w:firstLine="709"/>
      </w:pPr>
      <w:r>
        <w:rPr>
          <w:b/>
          <w:color w:val="000000"/>
        </w:rPr>
        <w:lastRenderedPageBreak/>
        <w:t>2 Характеристика организационно-правовых форм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 xml:space="preserve">Ниже — рабочий минимум, без которого сравнение таблиц превращается в копирование </w:t>
      </w:r>
      <w:r>
        <w:rPr>
          <w:color w:val="000000"/>
        </w:rPr>
        <w:t>справочника. Правовой каркас форм задан Гражданским кодексом Российской Федерации и специальными законами об обществах, регистрации и налоге на профессиональный доход [1]. Налоговые режимы, которые дальше встречаются в таблицах: УСН — упрощённая система на</w:t>
      </w:r>
      <w:r>
        <w:rPr>
          <w:color w:val="000000"/>
        </w:rPr>
        <w:t>логообложения; ОСНО — общая система налогообложения (налог на прибыль организаций и налог на добавленную стоимость, НДС); ПСН — патентная система налогообложения для отдельных бытовых услуг. Актуальные лимиты и условия режимов публикует Федеральная налогов</w:t>
      </w:r>
      <w:r>
        <w:rPr>
          <w:color w:val="000000"/>
        </w:rPr>
        <w:t>ая служба [2].</w:t>
      </w:r>
    </w:p>
    <w:p w:rsidR="00B44FAD" w:rsidRDefault="00826E42">
      <w:pPr>
        <w:keepNext/>
        <w:spacing w:before="120" w:after="80" w:line="360" w:lineRule="auto"/>
        <w:ind w:firstLine="709"/>
      </w:pPr>
      <w:r>
        <w:rPr>
          <w:b/>
          <w:color w:val="000000"/>
        </w:rPr>
        <w:t>2.1 Индивидуальный предприниматель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 xml:space="preserve">Индивидуальный предприниматель — это физическое лицо, которое зарегистрировано в этом статусе и ведёт деятельность без образования юридического лица. Учредитель может быть только один. По обязательствам он </w:t>
      </w:r>
      <w:r>
        <w:rPr>
          <w:color w:val="000000"/>
        </w:rPr>
        <w:t>отвечает своим имуществом, а не «в пределах вклада». Регистрация относительно быстрая и дешёвая. Нанимать работников можно. Принять второго партнёра как совладельца нельзя: для этого нужно юридическое лицо. Банки и крупные закупщики к индивидуальному предп</w:t>
      </w:r>
      <w:r>
        <w:rPr>
          <w:color w:val="000000"/>
        </w:rPr>
        <w:t>ринимателю обычно холоднее, чем к обществу.</w:t>
      </w:r>
    </w:p>
    <w:p w:rsidR="00B44FAD" w:rsidRDefault="00826E42">
      <w:pPr>
        <w:keepNext/>
        <w:spacing w:before="120" w:after="80" w:line="360" w:lineRule="auto"/>
        <w:ind w:firstLine="709"/>
      </w:pPr>
      <w:r>
        <w:rPr>
          <w:b/>
          <w:color w:val="000000"/>
        </w:rPr>
        <w:t>2.2 Общество с ограниченной ответственностью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Общество с ограниченной ответственностью — юридическое лицо с уставным капиталом, разделённым на доли. Участников от одного до пятидесяти. По общему правилу каждый рис</w:t>
      </w:r>
      <w:r>
        <w:rPr>
          <w:color w:val="000000"/>
        </w:rPr>
        <w:t>кует в пределах своей доли, а не квартирой. В общество можно принять инвестора, прописать корпоративный договор, посадить на баланс заём и оборудование. Бухгалтерский учёт обязателен. Для двух и трёх партнёров это базовая форма: доли видны, вход и выход ка</w:t>
      </w:r>
      <w:r>
        <w:rPr>
          <w:color w:val="000000"/>
        </w:rPr>
        <w:t>питала описаны, статус понятен контрагенту.</w:t>
      </w:r>
    </w:p>
    <w:p w:rsidR="00B44FAD" w:rsidRDefault="00826E42">
      <w:pPr>
        <w:keepNext/>
        <w:spacing w:before="120" w:after="80" w:line="360" w:lineRule="auto"/>
        <w:ind w:firstLine="709"/>
      </w:pPr>
      <w:r>
        <w:rPr>
          <w:b/>
          <w:color w:val="000000"/>
        </w:rPr>
        <w:t>2.3 Непубличное акционерное общество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Непубличное акционерное общество выпускает акции, ведёт реестр акционеров и живёт по более тяжёлым корпоративным процедурам, чем общество с ограниченной ответственностью. Имее</w:t>
      </w:r>
      <w:r>
        <w:rPr>
          <w:color w:val="000000"/>
        </w:rPr>
        <w:t xml:space="preserve">т смысл, когда капитал должен обращаться как ценные бумаги: несколько классов прав, опционы менеджменту, пакетный вход фонда, подготовка к публичности, число участников выше потолка общества с ограниченной ответственностью. Для бытового сервиса, небольшой </w:t>
      </w:r>
      <w:r>
        <w:rPr>
          <w:color w:val="000000"/>
        </w:rPr>
        <w:t>онлайн-школы и цеха из трёх знакомых людей реестр и эмиссия — цена без функции.</w:t>
      </w:r>
    </w:p>
    <w:p w:rsidR="00B44FAD" w:rsidRDefault="00826E42">
      <w:pPr>
        <w:keepNext/>
        <w:spacing w:before="120" w:after="80" w:line="360" w:lineRule="auto"/>
        <w:ind w:firstLine="709"/>
      </w:pPr>
      <w:r>
        <w:rPr>
          <w:b/>
          <w:color w:val="000000"/>
        </w:rPr>
        <w:t>2.4 Налог на профессиональный доход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Налог на профессиональный доход — специальный режим для одного человека. Регистрация через приложение, учёта как у фирмы нет. Нанимать работ</w:t>
      </w:r>
      <w:r>
        <w:rPr>
          <w:color w:val="000000"/>
        </w:rPr>
        <w:t xml:space="preserve">ников нельзя. Годовая выручка </w:t>
      </w:r>
      <w:r>
        <w:rPr>
          <w:color w:val="000000"/>
        </w:rPr>
        <w:lastRenderedPageBreak/>
        <w:t>ограничена 2,4 млн рублей. Принять вклад инвестора или оформить долю партнёра невозможно. Как только в модели появляются штат, второй учредитель или оборот выше лимита, режим закрывается независимо от того, насколько он «удобн</w:t>
      </w:r>
      <w:r>
        <w:rPr>
          <w:color w:val="000000"/>
        </w:rPr>
        <w:t>ый на бумаге».</w:t>
      </w:r>
    </w:p>
    <w:p w:rsidR="00B44FAD" w:rsidRDefault="00826E42">
      <w:r>
        <w:br w:type="page"/>
      </w:r>
    </w:p>
    <w:p w:rsidR="00B44FAD" w:rsidRDefault="00826E42">
      <w:pPr>
        <w:keepNext/>
        <w:spacing w:after="120" w:line="360" w:lineRule="auto"/>
        <w:ind w:firstLine="709"/>
      </w:pPr>
      <w:r>
        <w:rPr>
          <w:b/>
          <w:color w:val="000000"/>
        </w:rPr>
        <w:lastRenderedPageBreak/>
        <w:t>3 Исходные данные трёх бизнес-идей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Три модели разведены по числу учредителей, капиталу и найму, чтобы выбор формы не схлопнулся в одну рекомендацию. Идеи и цифры свои, не из шаблона: вместо кофейни, языковой школы и мебельного цеха взяты с</w:t>
      </w:r>
      <w:r>
        <w:rPr>
          <w:color w:val="000000"/>
        </w:rPr>
        <w:t>ервис подошвы, кинология и термокороба. Сводка — в таблице 1.</w:t>
      </w:r>
    </w:p>
    <w:p w:rsidR="00B44FAD" w:rsidRDefault="00826E42">
      <w:pPr>
        <w:keepNext/>
        <w:spacing w:before="160" w:after="40" w:line="360" w:lineRule="auto"/>
      </w:pPr>
      <w:r>
        <w:rPr>
          <w:color w:val="000000"/>
        </w:rPr>
        <w:t>Таблица 1 — Исходные данные трёх бизнес-идей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061"/>
        <w:gridCol w:w="3061"/>
        <w:gridCol w:w="2835"/>
      </w:tblGrid>
      <w:tr w:rsidR="00B44FAD">
        <w:trPr>
          <w:cantSplit/>
          <w:jc w:val="center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Параметр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Идея 1. «Подошва за 40 минут»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Идея 2. «Гав-класс»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Идея 3. «Жар-короб»</w:t>
            </w:r>
          </w:p>
        </w:tc>
      </w:tr>
      <w:tr w:rsidR="00B44FAD">
        <w:trPr>
          <w:cantSplit/>
          <w:jc w:val="center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Суть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 xml:space="preserve">Замена подошвы на точке за 40 мин; ночное окно — курьер сдаёт </w:t>
            </w:r>
            <w:r>
              <w:rPr>
                <w:color w:val="000000"/>
                <w:sz w:val="20"/>
              </w:rPr>
              <w:t>пару сам и ждёт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Онлайн-школа кинологии: разбор домашнего видео «собака игнорирует „ко мне“ у урны»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Производство двухконтурных термокоробов: шаурма не греет оливье</w:t>
            </w:r>
          </w:p>
        </w:tc>
      </w:tr>
      <w:tr w:rsidR="00B44FAD">
        <w:trPr>
          <w:cantSplit/>
          <w:jc w:val="center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Локация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СПб, Купчино, 20 м² цоколь в собственности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Полностью онлайн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СПб, промзона Парнас, це</w:t>
            </w:r>
            <w:r>
              <w:rPr>
                <w:color w:val="000000"/>
                <w:sz w:val="20"/>
              </w:rPr>
              <w:t>х 340 м² в аренде</w:t>
            </w:r>
          </w:p>
        </w:tc>
      </w:tr>
      <w:tr w:rsidR="00B44FAD">
        <w:trPr>
          <w:cantSplit/>
          <w:jc w:val="center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Штат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2 (мастер и приёмщик; приёмщик ведёт ночное окно)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4 кинолога на НПД + 1 менеджер в штате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16 (раскрой, сборка, ОТК, склад, 2 менеджера B2B)</w:t>
            </w:r>
          </w:p>
        </w:tc>
      </w:tr>
      <w:tr w:rsidR="00B44FAD">
        <w:trPr>
          <w:cantSplit/>
          <w:jc w:val="center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Выручка / год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3 600 000 ₽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7 800 000 ₽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38 400 000 ₽</w:t>
            </w:r>
          </w:p>
        </w:tc>
      </w:tr>
      <w:tr w:rsidR="00B44FAD">
        <w:trPr>
          <w:cantSplit/>
          <w:jc w:val="center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Старт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420 000 ₽, только</w:t>
            </w:r>
            <w:r>
              <w:rPr>
                <w:color w:val="000000"/>
                <w:sz w:val="20"/>
              </w:rPr>
              <w:t xml:space="preserve"> свои (пресс, колодки, запас подошв)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620 000 ₽, свои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9 200 000 ₽: 4,5 млн свои + 4,7 млн заём</w:t>
            </w:r>
          </w:p>
        </w:tc>
      </w:tr>
      <w:tr w:rsidR="00B44FAD">
        <w:trPr>
          <w:cantSplit/>
          <w:jc w:val="center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Учредители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1 человек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2 человека, 70 / 30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3 человека, 45 / 35 / 20</w:t>
            </w:r>
          </w:p>
        </w:tc>
      </w:tr>
      <w:tr w:rsidR="00B44FAD">
        <w:trPr>
          <w:cantSplit/>
          <w:jc w:val="center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Горизонт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Через 14 месяцев — вторая точка у «Проспект Просвещения»</w:t>
            </w:r>
          </w:p>
        </w:tc>
        <w:tc>
          <w:tcPr>
            <w:tcW w:w="3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Через 9 месяцев — частный ин</w:t>
            </w:r>
            <w:r>
              <w:rPr>
                <w:color w:val="000000"/>
                <w:sz w:val="20"/>
              </w:rPr>
              <w:t>вестор на приложение «Дневник лап» (GPS выгула)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Контракты с агрегаторами, витрина на маркетплейсах, поставка в Алматы</w:t>
            </w:r>
          </w:p>
        </w:tc>
      </w:tr>
    </w:tbl>
    <w:p w:rsidR="00B44FAD" w:rsidRDefault="00B44FAD">
      <w:pPr>
        <w:spacing w:after="80"/>
        <w:jc w:val="both"/>
      </w:pP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 xml:space="preserve">Идея 1. Ателье стоит в цокольном нежилом помещении 20 м², которое уже есть у собственника: это не покупка торгового зала на 60 метров. </w:t>
      </w:r>
      <w:r>
        <w:rPr>
          <w:color w:val="000000"/>
        </w:rPr>
        <w:t xml:space="preserve">Цикл «40 минут» считается только на точке: приёмка, снятие изношенной подошвы, прессование новой, короткая сушка, выдача на руки. Выезд мастера к клиенту домой и обратная доставка в эти 40 минут не входят. Ночное окно 22:00–02:00 — курьер сам заносит пару </w:t>
      </w:r>
      <w:r>
        <w:rPr>
          <w:color w:val="000000"/>
        </w:rPr>
        <w:t>и ждёт. Выручка заложена как старт, а не как «полный зал»: 9 заказов в день при среднем чеке 1 500 ₽ и 22 рабочих дня дают около 300 000 ₽ в месяц и 3,6 млн ₽ в год. Расчёт на 15–20 клиентов в день для первого года нереалистичен.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Идея 2. Онлайн-школа кинол</w:t>
      </w:r>
      <w:r>
        <w:rPr>
          <w:color w:val="000000"/>
        </w:rPr>
        <w:t>огии — цифровой продукт двух партнёров (автор методики 70 % и разработчик платформы 30 %). Через девять месяцев планируется не банковский кредит, а инвестиционный раунд: частный инвестор вкладывает деньги в разработку приложения «Дневник лап» и получает до</w:t>
      </w:r>
      <w:r>
        <w:rPr>
          <w:color w:val="000000"/>
        </w:rPr>
        <w:t>лю в обществе. Раунд — это этап сделки, на котором меняются состав участников и доли, а не просто заём под проценты. Без юридического лица такую сделку оформить не на кого.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 xml:space="preserve">Идея 3. Цех на Парнасе шьёт термокороба с двумя контурами и продаёт их агрегаторам </w:t>
      </w:r>
      <w:r>
        <w:rPr>
          <w:color w:val="000000"/>
        </w:rPr>
        <w:t>доставки, на маркетплейсах и оптом в Алматы. Трое участников держат доли 45 / 35 / 20: технолог, коммерческий директор и участник, который дал часть денег и вправе позже выйти, не останавливая линию. Ни одна модель не укладывается в лимит 2,4 млн рублей, п</w:t>
      </w:r>
      <w:r>
        <w:rPr>
          <w:color w:val="000000"/>
        </w:rPr>
        <w:t>оэтому налог на профессиональный доход как основная форма отпадает для всех трёх.</w:t>
      </w:r>
    </w:p>
    <w:p w:rsidR="00B44FAD" w:rsidRDefault="00826E42">
      <w:r>
        <w:br w:type="page"/>
      </w:r>
    </w:p>
    <w:p w:rsidR="00B44FAD" w:rsidRDefault="00826E42">
      <w:pPr>
        <w:keepNext/>
        <w:spacing w:after="120" w:line="360" w:lineRule="auto"/>
        <w:ind w:firstLine="709"/>
      </w:pPr>
      <w:r>
        <w:rPr>
          <w:b/>
          <w:color w:val="000000"/>
        </w:rPr>
        <w:lastRenderedPageBreak/>
        <w:t>4 Сравнительный анализ ОПФ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 xml:space="preserve">По каждой идее сравнены четыре формы по десяти критериям. Оценка привязана к фактическим цифрам модели. В таблицах 2–4: УСН — упрощённая система </w:t>
      </w:r>
      <w:r>
        <w:rPr>
          <w:color w:val="000000"/>
        </w:rPr>
        <w:t>налогообложения; ОСНО — общая система налогообложения; НДС — налог на добавленную стоимость. Результаты приведены ниже.</w:t>
      </w:r>
    </w:p>
    <w:p w:rsidR="00B44FAD" w:rsidRDefault="00826E42">
      <w:pPr>
        <w:keepNext/>
        <w:spacing w:before="120" w:after="80" w:line="360" w:lineRule="auto"/>
        <w:ind w:firstLine="709"/>
      </w:pPr>
      <w:r>
        <w:rPr>
          <w:b/>
          <w:color w:val="000000"/>
        </w:rPr>
        <w:t>4.1 Ателье «Подошва за 40 минут»</w:t>
      </w:r>
    </w:p>
    <w:p w:rsidR="00B44FAD" w:rsidRDefault="00826E42">
      <w:pPr>
        <w:keepNext/>
        <w:spacing w:before="160" w:after="40" w:line="360" w:lineRule="auto"/>
      </w:pPr>
      <w:r>
        <w:rPr>
          <w:color w:val="000000"/>
        </w:rPr>
        <w:t>Таблица 2 — Сравнение ОПФ для ателье «Подошва за 40 минут»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154"/>
        <w:gridCol w:w="2154"/>
        <w:gridCol w:w="2154"/>
        <w:gridCol w:w="2041"/>
      </w:tblGrid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Критерий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ИП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ООО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АО (непубличное)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НПД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 xml:space="preserve">Число </w:t>
            </w:r>
            <w:r>
              <w:rPr>
                <w:color w:val="000000"/>
                <w:sz w:val="20"/>
              </w:rPr>
              <w:t>учредителей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1 — совпадает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1 допустимо, форма избыточна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Избыточно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1, но наём 2 человек запрещён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Регистрация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Госпошлина 800 ₽, быстро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4 000 ₽, устав, счёт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4 000 ₽ + реестр и эмиссия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Бесплатно через приложение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Ответственность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Всем личным имуществом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 xml:space="preserve">В </w:t>
            </w:r>
            <w:r>
              <w:rPr>
                <w:color w:val="000000"/>
                <w:sz w:val="20"/>
              </w:rPr>
              <w:t>пределах доли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В пределах акций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Всем имуществом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Выручка 3,6 млн ₽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Лимита нет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Лимита нет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Лимита нет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Лимит 2,4 млн ₽ — не проходит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Штат 2 чел.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Можно оформить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Можно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Можно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Наём запрещён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Инвестиции 0,42 млн, свои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Достаточно, вклад не нужен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Уставный капитал ра</w:t>
            </w:r>
            <w:r>
              <w:rPr>
                <w:color w:val="000000"/>
                <w:sz w:val="20"/>
              </w:rPr>
              <w:t>ди формы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Эмиссия бессмысленна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Вклад инвестора невозможен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Бухучёт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Не обязателен, книга учёта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Обязателен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Обязателен, тяжелее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Не нужен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Налоги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УСН (упрощённая система) / патент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ОСНО (общая система) / УСН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ОСНО / УСН с ограничениями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 xml:space="preserve">Режим есть, модель не </w:t>
            </w:r>
            <w:r>
              <w:rPr>
                <w:color w:val="000000"/>
                <w:sz w:val="20"/>
              </w:rPr>
              <w:t>влезает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Вторая точка через 14 мес.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Можно, кредит слабее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Удобнее как сеть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Избыточно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Нельзя масштабировать наймом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Контрагенты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Своё помещение; банки холоднее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Солиднее, чем нужно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Избыточный статус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Для точки в Купчино ничего не даёт</w:t>
            </w:r>
          </w:p>
        </w:tc>
      </w:tr>
    </w:tbl>
    <w:p w:rsidR="00B44FAD" w:rsidRDefault="00B44FAD">
      <w:pPr>
        <w:spacing w:after="80"/>
        <w:jc w:val="both"/>
      </w:pPr>
    </w:p>
    <w:p w:rsidR="00B44FAD" w:rsidRDefault="00826E42">
      <w:pPr>
        <w:keepNext/>
        <w:spacing w:before="120" w:after="80" w:line="360" w:lineRule="auto"/>
        <w:ind w:firstLine="709"/>
      </w:pPr>
      <w:r>
        <w:rPr>
          <w:b/>
          <w:color w:val="000000"/>
        </w:rPr>
        <w:t xml:space="preserve">4.2 Онлайн-школа </w:t>
      </w:r>
      <w:r>
        <w:rPr>
          <w:b/>
          <w:color w:val="000000"/>
        </w:rPr>
        <w:t>«Гав-класс»</w:t>
      </w:r>
    </w:p>
    <w:p w:rsidR="00B44FAD" w:rsidRDefault="00826E42">
      <w:pPr>
        <w:keepNext/>
        <w:spacing w:before="160" w:after="40" w:line="360" w:lineRule="auto"/>
      </w:pPr>
      <w:r>
        <w:rPr>
          <w:color w:val="000000"/>
        </w:rPr>
        <w:t>Таблица 3 — Сравнение ОПФ для онлайн-школы «Гав-класс»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154"/>
        <w:gridCol w:w="2154"/>
        <w:gridCol w:w="2154"/>
        <w:gridCol w:w="2041"/>
      </w:tblGrid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Критерий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ИП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ООО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АО (непубличное)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НПД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Учредители 70 / 30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Только 1 человек — отсекается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1–50, доли в уставе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Акции возможны, рано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Только 1 человек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Регистрация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Не подходит по составу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Стандарт</w:t>
            </w:r>
            <w:r>
              <w:rPr>
                <w:color w:val="000000"/>
                <w:sz w:val="20"/>
              </w:rPr>
              <w:t xml:space="preserve"> общества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Реестр + решение об эмиссии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Не подходит по составу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Ответственность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Личная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В пределах доли — важно при двух партнёрах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В пределах акций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Личная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Выручка 7,8 млн ₽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Лимита нет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Лимита нет, УСН доступен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Лимита нет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Лимит 2,4 млн ₽ — не проходит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Штат: 4</w:t>
            </w:r>
            <w:r>
              <w:rPr>
                <w:color w:val="000000"/>
                <w:sz w:val="20"/>
              </w:rPr>
              <w:t xml:space="preserve"> НПД + 1 менеджер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Менеджера можно нанять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Менеджер в штате, кинологи по договорам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То же, дороже сопровождение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Менеджера нанять нельзя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Инвестор через 9 мес.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Долю продать некому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Доля, корпоративный договор, конвертируемый займ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 xml:space="preserve">Акции удобны позже, сейчас </w:t>
            </w:r>
            <w:r>
              <w:rPr>
                <w:color w:val="000000"/>
                <w:sz w:val="20"/>
              </w:rPr>
              <w:t>дорого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Инвестиции невозможны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Бухучёт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Проще, но форма закрыта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Обязателен, соразмерен школе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Избыточен на старте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Нет учёта — и нет модели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Налоги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УСН (упрощённая система)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УСН 6 % с платформы реалистичен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Чаще ОСНО (общая система)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Оборот режим не тянет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lastRenderedPageBreak/>
              <w:t>Приложение «Дневник лап»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Права и доли не развести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Права на юрлице, доли под раунд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Имеет смысл после оценки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Некому принять деньги инвестора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Риск конфликта 70 / 30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Второго партнёра юридически нет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Нужен корпоративный договор, иначе тупик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 xml:space="preserve">Акционерное </w:t>
            </w:r>
            <w:r>
              <w:rPr>
                <w:color w:val="000000"/>
                <w:sz w:val="20"/>
              </w:rPr>
              <w:t>соглашение тяжелее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Партнёрства нет</w:t>
            </w:r>
          </w:p>
        </w:tc>
      </w:tr>
    </w:tbl>
    <w:p w:rsidR="00B44FAD" w:rsidRDefault="00B44FAD">
      <w:pPr>
        <w:spacing w:after="80"/>
        <w:jc w:val="both"/>
      </w:pPr>
    </w:p>
    <w:p w:rsidR="00B44FAD" w:rsidRDefault="00826E42">
      <w:pPr>
        <w:keepNext/>
        <w:spacing w:before="120" w:after="80" w:line="360" w:lineRule="auto"/>
        <w:ind w:firstLine="709"/>
      </w:pPr>
      <w:r>
        <w:rPr>
          <w:b/>
          <w:color w:val="000000"/>
        </w:rPr>
        <w:t>4.3 Производство «Жар-короб»</w:t>
      </w:r>
    </w:p>
    <w:p w:rsidR="00B44FAD" w:rsidRDefault="00826E42">
      <w:pPr>
        <w:keepNext/>
        <w:spacing w:before="160" w:after="40" w:line="360" w:lineRule="auto"/>
      </w:pPr>
      <w:r>
        <w:rPr>
          <w:color w:val="000000"/>
        </w:rPr>
        <w:t>Таблица 4 — Сравнение ОПФ для производства «Жар-короб»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154"/>
        <w:gridCol w:w="2154"/>
        <w:gridCol w:w="2154"/>
        <w:gridCol w:w="2041"/>
      </w:tblGrid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Критерий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ИП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ООО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АО (непубличное)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B44FAD" w:rsidRDefault="00826E42">
            <w:pPr>
              <w:jc w:val="center"/>
            </w:pPr>
            <w:r>
              <w:rPr>
                <w:b/>
                <w:color w:val="000000"/>
                <w:sz w:val="20"/>
              </w:rPr>
              <w:t>НПД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Учредители 45 / 35 / 20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Невозможно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Норма, доли в уставе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Возможно, но рано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Невозможно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Регистрация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Закрыто по составу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Адекватна цеху и займу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Реестр держателя, лишние издержки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Закрыто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Ответственность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Личная + заём 4,7 млн — опасно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Ограничена долей; субсидиарка — при недобросовестности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Ограничена акциями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Личная, плюс наём 16 человек запрещён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 xml:space="preserve">Выручка </w:t>
            </w:r>
            <w:r>
              <w:rPr>
                <w:color w:val="000000"/>
                <w:sz w:val="20"/>
              </w:rPr>
              <w:t>38,4 млн ₽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Лимита нет, но форма закрыта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УСН доступен (лимит 266,1 млн ₽)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Часто общая система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Далеко за 2,4 млн ₽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Штат 16 чел.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Нанять можно, но учредителей трое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Норма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Норма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Наём запрещён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Заём 4,7 млн под оборудование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Банк хуже кредитует ИП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 xml:space="preserve">Залог основных </w:t>
            </w:r>
            <w:r>
              <w:rPr>
                <w:color w:val="000000"/>
                <w:sz w:val="20"/>
              </w:rPr>
              <w:t>средств на юрлице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Возможно, дороже процедуры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Кредит самозанятому несоразмерен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Бухучёт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Для цеха всё равно понадобится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Обязателен, нужен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Обязателен плюс реестр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Недостаточен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Налоги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УСН / ОСНО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УСН 15 % при высокой доле расходов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 xml:space="preserve">Вероятен НДС (налог на </w:t>
            </w:r>
            <w:r>
              <w:rPr>
                <w:color w:val="000000"/>
                <w:sz w:val="20"/>
              </w:rPr>
              <w:t>добавленную стоимость)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Неприменим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Агрегаторы / маркетплейсы / Алматы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Крупный опт чаще хочет юрлицо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Стандартный контрагент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Статус «акционерное общество» не нужен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Самозанятый не пройдёт проверку агрегатора</w:t>
            </w:r>
          </w:p>
        </w:tc>
      </w:tr>
      <w:tr w:rsidR="00B44FAD">
        <w:trPr>
          <w:cantSplit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Выход 20 % инвестора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Некого выводить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Продажа доли,</w:t>
            </w:r>
            <w:r>
              <w:rPr>
                <w:color w:val="000000"/>
                <w:sz w:val="20"/>
              </w:rPr>
              <w:t xml:space="preserve"> преимущественная покупка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Продажа пакета проще, чем доля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FAD" w:rsidRDefault="00826E42">
            <w:r>
              <w:rPr>
                <w:color w:val="000000"/>
                <w:sz w:val="20"/>
              </w:rPr>
              <w:t>Некого выводить</w:t>
            </w:r>
          </w:p>
        </w:tc>
      </w:tr>
    </w:tbl>
    <w:p w:rsidR="00B44FAD" w:rsidRDefault="00B44FAD">
      <w:pPr>
        <w:spacing w:after="80"/>
        <w:jc w:val="both"/>
      </w:pPr>
    </w:p>
    <w:p w:rsidR="00B44FAD" w:rsidRDefault="00826E42">
      <w:r>
        <w:br w:type="page"/>
      </w:r>
    </w:p>
    <w:p w:rsidR="00B44FAD" w:rsidRDefault="00826E42">
      <w:pPr>
        <w:keepNext/>
        <w:spacing w:after="120" w:line="360" w:lineRule="auto"/>
        <w:ind w:firstLine="709"/>
      </w:pPr>
      <w:r>
        <w:rPr>
          <w:b/>
          <w:color w:val="000000"/>
        </w:rPr>
        <w:lastRenderedPageBreak/>
        <w:t>5 Схема выбора ОПФ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Порядок работы на задании об оргструктуре прямо требует схему «как есть» в Draw.io, Miro или блок-схемой в Word с комментариями в пунктире. В работе по выбору ф</w:t>
      </w:r>
      <w:r>
        <w:rPr>
          <w:color w:val="000000"/>
        </w:rPr>
        <w:t>ормы такого требования нет: формат сдачи — таблицы и текст. Тем не менее алгоритм выбора удобно зафиксировать блок-схемой, иначе таблицы остаются набором ячеек без правила. На рисунке 1 — тот же алгоритм, который применён к трём идеям. Пунктиром вынесены к</w:t>
      </w:r>
      <w:r>
        <w:rPr>
          <w:color w:val="000000"/>
        </w:rPr>
        <w:t>омментарии к конечным блокам и трассировка решений.</w:t>
      </w:r>
    </w:p>
    <w:p w:rsidR="00B44FAD" w:rsidRDefault="00826E42">
      <w:pPr>
        <w:keepNext/>
        <w:spacing w:before="160" w:line="360" w:lineRule="auto"/>
        <w:jc w:val="center"/>
      </w:pPr>
      <w:r>
        <w:rPr>
          <w:noProof/>
        </w:rPr>
        <w:drawing>
          <wp:inline distT="0" distB="0" distL="0" distR="0">
            <wp:extent cx="6300000" cy="47685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f_sche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768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FAD" w:rsidRDefault="00826E42">
      <w:pPr>
        <w:spacing w:before="120" w:after="160" w:line="360" w:lineRule="auto"/>
        <w:jc w:val="center"/>
      </w:pPr>
      <w:r>
        <w:rPr>
          <w:color w:val="000000"/>
        </w:rPr>
        <w:t>Рисунок 1 — Алгоритм выбора организационно-правовой формы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Чтение схемы. Сначала смотрим число учредителей. Один человек ещё не означает самозанятость: если есть штат или оборот выше 2,4 млн рублей, нало</w:t>
      </w:r>
      <w:r>
        <w:rPr>
          <w:color w:val="000000"/>
        </w:rPr>
        <w:t xml:space="preserve">г на профессиональный доход закрыт. Дальше вопрос про внешний капитал и сеть. Два и более учредителей сразу убирают индивидуального предпринимателя и самозанятость; акционерное общество включается только если нужны акции, публичность или больше пятидесяти </w:t>
      </w:r>
      <w:r>
        <w:rPr>
          <w:color w:val="000000"/>
        </w:rPr>
        <w:t>участников. Для наших трёх идей схема даёт ИП — ООО — ООО, что совпадает с таблицами 2–4.</w:t>
      </w:r>
    </w:p>
    <w:p w:rsidR="00B44FAD" w:rsidRDefault="00826E42">
      <w:r>
        <w:br w:type="page"/>
      </w:r>
    </w:p>
    <w:p w:rsidR="00B44FAD" w:rsidRDefault="00826E42">
      <w:pPr>
        <w:keepNext/>
        <w:spacing w:after="120" w:line="360" w:lineRule="auto"/>
        <w:ind w:firstLine="709"/>
      </w:pPr>
      <w:r>
        <w:rPr>
          <w:b/>
          <w:color w:val="000000"/>
        </w:rPr>
        <w:lastRenderedPageBreak/>
        <w:t>6 Обоснование выбора</w:t>
      </w:r>
    </w:p>
    <w:p w:rsidR="00B44FAD" w:rsidRDefault="00826E42">
      <w:pPr>
        <w:keepNext/>
        <w:spacing w:before="120" w:after="80" w:line="360" w:lineRule="auto"/>
        <w:ind w:firstLine="709"/>
      </w:pPr>
      <w:r>
        <w:rPr>
          <w:b/>
          <w:color w:val="000000"/>
        </w:rPr>
        <w:t>6.1 Ателье — ИП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 xml:space="preserve">Выбрана форма индивидуального предпринимателя. Во-первых, учредитель один, второго субъекта нет и не планируется: общество с </w:t>
      </w:r>
      <w:r>
        <w:rPr>
          <w:color w:val="000000"/>
        </w:rPr>
        <w:t>одним участником здесь ничего не добавляет, кроме устава и обязательного учёта. Во-вторых, выручка 3,6 млн рублей выше лимита налога на профессиональный доход 2,4 млн рублей, а двое работников закрывают этот режим ещё раз: самозанятый не вправе нанимать пе</w:t>
      </w:r>
      <w:r>
        <w:rPr>
          <w:color w:val="000000"/>
        </w:rPr>
        <w:t>рсонал. В-третьих, старт 420 000 рублей своими деньгами, без входа инвестора — эмиссия акций и доли не нужны. В-четвёртых, помещение уже в собственности, арендодателя «под юридическое лицо» нет. В-пятых, бытовой ремонт обуви допускает упрощённую систему на</w:t>
      </w:r>
      <w:r>
        <w:rPr>
          <w:color w:val="000000"/>
        </w:rPr>
        <w:t>логообложения или патент; регистрация предпринимателя дешевле и быстрее. Непубличное акционерное общество для мастерской 20 м² избыточно: реестр и эмиссия не окупаются бытовым сервисом.</w:t>
      </w:r>
    </w:p>
    <w:p w:rsidR="00B44FAD" w:rsidRDefault="00826E42">
      <w:pPr>
        <w:keepNext/>
        <w:spacing w:before="120" w:after="80" w:line="360" w:lineRule="auto"/>
        <w:ind w:firstLine="709"/>
      </w:pPr>
      <w:r>
        <w:rPr>
          <w:b/>
          <w:color w:val="000000"/>
        </w:rPr>
        <w:t>6.2 Онлайн-школа — ООО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Выбрано общество с ограниченной ответственность</w:t>
      </w:r>
      <w:r>
        <w:rPr>
          <w:color w:val="000000"/>
        </w:rPr>
        <w:t>ю. Во-первых, двое учредителей 70 / 30: предприниматель и самозанятый — одно лицо, второго партнёра туда не вписать. Во-вторых, через девять месяцев нужен вход частного капитала в приложение «Дневник лап»; у общества есть доля, корпоративный договор и конв</w:t>
      </w:r>
      <w:r>
        <w:rPr>
          <w:color w:val="000000"/>
        </w:rPr>
        <w:t>ертируемый займ, у предпринимателя этого контура нет. В-третьих, оборот 7,8 млн рублей уже втрое выше потолка налога на профессиональный доход. В-четвёртых, менеджер оформляется в штат, кинологи остаются внешними экспертами по договорам — гибрид нормален и</w:t>
      </w:r>
      <w:r>
        <w:rPr>
          <w:color w:val="000000"/>
        </w:rPr>
        <w:t>менно для юридического лица. В-пятых, исключительные права на курсы и код приложения удобно держать на обществе, а не у одного человека. Акционерное общество на этом этапе даёт реестр и эмиссию без инвестора-акционера: лишняя цена без функции.</w:t>
      </w:r>
    </w:p>
    <w:p w:rsidR="00B44FAD" w:rsidRDefault="00826E42">
      <w:pPr>
        <w:keepNext/>
        <w:spacing w:before="120" w:after="80" w:line="360" w:lineRule="auto"/>
        <w:ind w:firstLine="709"/>
      </w:pPr>
      <w:r>
        <w:rPr>
          <w:b/>
          <w:color w:val="000000"/>
        </w:rPr>
        <w:t>6.3 Производ</w:t>
      </w:r>
      <w:r>
        <w:rPr>
          <w:b/>
          <w:color w:val="000000"/>
        </w:rPr>
        <w:t>ство — ООО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Выбрано общество с ограниченной ответственностью. Во-первых, трое участников с неравными долями 45 / 35 / 20: предприниматель и самозанятость отпадают сразу. Во-вторых, заём 4,7 млн рублей под оборудование проще посадить на юридическое лицо, чем</w:t>
      </w:r>
      <w:r>
        <w:rPr>
          <w:color w:val="000000"/>
        </w:rPr>
        <w:t xml:space="preserve"> на индивидуального предпринимателя. В-третьих, 16 сотрудников и цех 340 м² — это уже не «самозанятый с термопистолетом». В-четвёртых, агрегаторы доставки и маркетплейсы проверяют контрагента; общество здесь базовый стандарт. В-пятых, выручка 38,4 млн рубл</w:t>
      </w:r>
      <w:r>
        <w:rPr>
          <w:color w:val="000000"/>
        </w:rPr>
        <w:t>ей при расходах на сырьё и оплату труда делает осмысленной упрощённую систему «доходы минус расходы»; лимиты режима не пробиты. Непубличное акционерное общество дало бы более удобный выход участника с долей 20 % через продажу акций, но ценой реестра и эмис</w:t>
      </w:r>
      <w:r>
        <w:rPr>
          <w:color w:val="000000"/>
        </w:rPr>
        <w:t>сии, которые трём людям без публичного размещения нечем окупить. Пока этот участник держит меньшую долю в цехе и не является инвестиционным фондом, общества достаточно.</w:t>
      </w:r>
    </w:p>
    <w:p w:rsidR="00B44FAD" w:rsidRDefault="00826E42">
      <w:r>
        <w:lastRenderedPageBreak/>
        <w:br w:type="page"/>
      </w:r>
    </w:p>
    <w:p w:rsidR="00B44FAD" w:rsidRDefault="00826E42">
      <w:pPr>
        <w:keepNext/>
        <w:spacing w:after="120" w:line="360" w:lineRule="auto"/>
        <w:ind w:firstLine="709"/>
      </w:pPr>
      <w:r>
        <w:rPr>
          <w:b/>
          <w:color w:val="000000"/>
        </w:rPr>
        <w:lastRenderedPageBreak/>
        <w:t>7 Риски выбранных форм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Ателье, индивидуальный предприниматель. Первый риск — ответств</w:t>
      </w:r>
      <w:r>
        <w:rPr>
          <w:color w:val="000000"/>
        </w:rPr>
        <w:t>енность всем имуществом: отдельный учёт операций точки, страхование гражданской ответственности мастера, не обеспечивать оборот квартирой. Второй — вторая точка через 14 месяцев: банк может отказать предпринимателю в инвестиционном кредите, поэтому заранее</w:t>
      </w:r>
      <w:r>
        <w:rPr>
          <w:color w:val="000000"/>
        </w:rPr>
        <w:t xml:space="preserve"> копить запас и закладывать конвертацию в общество, если появится партнёр. Третий — болезнь единственного предпринимателя останавливает точку: доверенность на приёмщика и регламент смены мастера.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Онлайн-школа, общество. Первый риск — тупик 70 / 30 при конф</w:t>
      </w:r>
      <w:r>
        <w:rPr>
          <w:color w:val="000000"/>
        </w:rPr>
        <w:t xml:space="preserve">ликте: корпоративный договор с правилом тупиковых решений, опционом выкупа и запретом унести методику. Второй — разводнение доли на раунде: заранее прописать конвертацию и потолок размывания. Третий — переквалификация договоров с кинологами в трудовые: не </w:t>
      </w:r>
      <w:r>
        <w:rPr>
          <w:color w:val="000000"/>
        </w:rPr>
        <w:t>ставить им график как у штата, платить за акты разбора видео, а не «за месяц занятий».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Производство, общество. Первый риск — субсидиарная ответственность при нехватке имущества на заём: не выводить дивиденды в кассовый разрыв, фиксировать решения участнико</w:t>
      </w:r>
      <w:r>
        <w:rPr>
          <w:color w:val="000000"/>
        </w:rPr>
        <w:t>в. Второй — аренда на Парнасе: смена площади не должна ломать залог оборудования, в договоре займа нужен перечень основных средств, а не адрес цеха. Третий — выход двадцати процентов: преимущественная покупка доли оставшимися, оценка независимым оценщиком,</w:t>
      </w:r>
      <w:r>
        <w:rPr>
          <w:color w:val="000000"/>
        </w:rPr>
        <w:t xml:space="preserve"> рассрочка, чтобы не останавливать линию.</w:t>
      </w:r>
    </w:p>
    <w:p w:rsidR="00B44FAD" w:rsidRDefault="00826E42">
      <w:r>
        <w:br w:type="page"/>
      </w:r>
    </w:p>
    <w:p w:rsidR="00B44FAD" w:rsidRDefault="00826E42">
      <w:pPr>
        <w:keepNext/>
        <w:spacing w:after="120" w:line="360" w:lineRule="auto"/>
        <w:ind w:firstLine="709"/>
      </w:pPr>
      <w:r>
        <w:rPr>
          <w:b/>
          <w:color w:val="000000"/>
        </w:rPr>
        <w:lastRenderedPageBreak/>
        <w:t>8 Ответ на контрольный вопрос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Непубличное акционерное общество предпочтительнее общества с ограниченной ответственностью в тех случаях, когда у доли как инструмента не хватает функций либо эти функции обходятся д</w:t>
      </w:r>
      <w:r>
        <w:rPr>
          <w:color w:val="000000"/>
        </w:rPr>
        <w:t>ороже, чем выпуск акций.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Первый случай: планируется выпуск акций и вход портфельных инвесторов пакетами, без переписывания устава под каждого нового участника. Второй: число участников может превысить пятьдесят — это потолок общества с ограниченной ответст</w:t>
      </w:r>
      <w:r>
        <w:rPr>
          <w:color w:val="000000"/>
        </w:rPr>
        <w:t>венностью. Третий: нужен выход инвестора продажей пакета без нотариальной сделки с долей и без того согласия всех оставшихся, которое часто зашивают в устав общества. Четвёртый: подготовка к публичности и внешнему реестру под проверку инвестора. Пятый: нес</w:t>
      </w:r>
      <w:r>
        <w:rPr>
          <w:color w:val="000000"/>
        </w:rPr>
        <w:t>колько классов прав голоса, привилегированные акции, опционы топ-менеджменту — это акционерный инструментарий, а не доли.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Для трёх моделей этой работы акционерное общество избыточно. В ателье один собственник и бытовой сервис. В «Гав-классе» два партнёра и</w:t>
      </w:r>
      <w:r>
        <w:rPr>
          <w:color w:val="000000"/>
        </w:rPr>
        <w:t xml:space="preserve"> ещё не закрытый первый инвестиционный раунд: сначала общество и корпоративный договор, акции — если инвестор потребует именно их. В «Жар-коробе» три участника и банковский заём; более удобный выход держателя 20 % сам по себе не окупает ведение реестра. Ак</w:t>
      </w:r>
      <w:r>
        <w:rPr>
          <w:color w:val="000000"/>
        </w:rPr>
        <w:t>ционерное общество целесообразно, когда капитал должен обращаться в форме акций. Пока капитал оформлен долями нескольких человек, достаточно общества с ограниченной ответственностью.</w:t>
      </w:r>
    </w:p>
    <w:p w:rsidR="00B44FAD" w:rsidRDefault="00826E42">
      <w:r>
        <w:br w:type="page"/>
      </w:r>
    </w:p>
    <w:p w:rsidR="00B44FAD" w:rsidRDefault="00826E42">
      <w:pPr>
        <w:keepNext/>
        <w:spacing w:after="240" w:line="360" w:lineRule="auto"/>
        <w:jc w:val="center"/>
      </w:pPr>
      <w:r>
        <w:rPr>
          <w:b/>
          <w:color w:val="000000"/>
        </w:rPr>
        <w:lastRenderedPageBreak/>
        <w:t>ЗАКЛЮЧЕНИЕ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По результатам сравнения для ателье «Подошва за 40 минут» вы</w:t>
      </w:r>
      <w:r>
        <w:rPr>
          <w:color w:val="000000"/>
        </w:rPr>
        <w:t>брана форма индивидуального предпринимателя. Модель стартовая: 20 м², двое в штате, около девяти заказов в день и 3,6 млн рублей выручки в год. Это выше лимита налога на профессиональный доход и требует найма, но не требует второго учредителя и внешнего ка</w:t>
      </w:r>
      <w:r>
        <w:rPr>
          <w:color w:val="000000"/>
        </w:rPr>
        <w:t>питала.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Для онлайн-школы «Гав-класс» и производства «Жар-короб» выбрано общество с ограниченной ответственностью. В школе двое партнёров и через девять месяцев инвестиционный раунд под приложение. В цехе трое участников, заём 4,7 млн рублей и оптовые контр</w:t>
      </w:r>
      <w:r>
        <w:rPr>
          <w:color w:val="000000"/>
        </w:rPr>
        <w:t>акты. Налог на профессиональный доход отсечён у всех трёх идей лимитом выручки и наличием работников. Непубличное акционерное общество ни одной модели не требуется.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Алгоритм на рисунке 1 совпадает с таблицами 2–4: сначала число учредителей, затем лимит 2,4</w:t>
      </w:r>
      <w:r>
        <w:rPr>
          <w:color w:val="000000"/>
        </w:rPr>
        <w:t xml:space="preserve"> млн рублей и штат, затем вопрос о внешнем капитале и акциях. Условия налоговых режимов сверены с официальными материалами Федеральной налоговой службы и Министерства финансов Российской Федерации [2, 3]. Прогноз спроса, диаграмма Ганта, рейтинг поставщико</w:t>
      </w:r>
      <w:r>
        <w:rPr>
          <w:color w:val="000000"/>
        </w:rPr>
        <w:t>в и оценка инвестиционных проектов в эту работу не входят и выполняются отдельными файлами.</w:t>
      </w:r>
    </w:p>
    <w:p w:rsidR="00B44FAD" w:rsidRDefault="00826E42">
      <w:r>
        <w:br w:type="page"/>
      </w:r>
    </w:p>
    <w:p w:rsidR="00B44FAD" w:rsidRDefault="00826E42">
      <w:pPr>
        <w:keepNext/>
        <w:spacing w:after="240" w:line="360" w:lineRule="auto"/>
        <w:jc w:val="center"/>
      </w:pPr>
      <w:r>
        <w:rPr>
          <w:b/>
          <w:color w:val="000000"/>
        </w:rPr>
        <w:lastRenderedPageBreak/>
        <w:t>СПИСОК ИСПОЛЬЗОВАННЫХ ИСТОЧНИКОВ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1. Гражданский кодекс Российской Федерации (часть первая) : федер. закон от 30.11.1994 № 51-ФЗ. Об обществах с ограниченной ответ</w:t>
      </w:r>
      <w:r>
        <w:rPr>
          <w:color w:val="000000"/>
        </w:rPr>
        <w:t>ственностью : федер. закон от 08.02.1998 № 14-ФЗ. Об акционерных обществах : федер. закон от 26.12.1995 № 208-ФЗ. О государственной регистрации юридических лиц и индивидуальных предпринимателей : федер. закон от 08.08.2001 № 129-ФЗ. О проведении эксперимен</w:t>
      </w:r>
      <w:r>
        <w:rPr>
          <w:color w:val="000000"/>
        </w:rPr>
        <w:t>та по установлению специального налогового режима «Налог на профессиональный доход» : федер. закон от 27.11.2018 № 422-ФЗ.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2. Федеральная налоговая служба : официальный сайт. – Москва, 2005– . – URL: https://www.nalog.gov.ru (дата обращения: 21.09.2026). –</w:t>
      </w:r>
      <w:r>
        <w:rPr>
          <w:color w:val="000000"/>
        </w:rPr>
        <w:t xml:space="preserve"> Текст : электронный.</w:t>
      </w:r>
    </w:p>
    <w:p w:rsidR="00B44FAD" w:rsidRDefault="00826E42">
      <w:pPr>
        <w:spacing w:line="360" w:lineRule="auto"/>
        <w:ind w:firstLine="709"/>
        <w:jc w:val="both"/>
      </w:pPr>
      <w:r>
        <w:rPr>
          <w:color w:val="000000"/>
        </w:rPr>
        <w:t>3. Министерство финансов Российской Федерации : официальный сайт. – URL: https://minfin.gov.ru (дата обращения: 21.09.2026). – Текст : электронный.</w:t>
      </w:r>
    </w:p>
    <w:sectPr w:rsidR="00B44FAD" w:rsidSect="005A2A15">
      <w:headerReference w:type="default" r:id="rId8"/>
      <w:footerReference w:type="default" r:id="rId9"/>
      <w:pgSz w:w="11906" w:h="16838"/>
      <w:pgMar w:top="720" w:right="720" w:bottom="907" w:left="720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26E42" w:rsidRDefault="00826E42">
      <w:r>
        <w:separator/>
      </w:r>
    </w:p>
  </w:endnote>
  <w:endnote w:type="continuationSeparator" w:id="0">
    <w:p w:rsidR="00826E42" w:rsidRDefault="00826E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44FAD" w:rsidRDefault="00B44FA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44FAD" w:rsidRDefault="00826E42">
    <w:pPr>
      <w:jc w:val="center"/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 w:rsidR="006F6B29">
      <w:rPr>
        <w:color w:val="000000"/>
      </w:rPr>
      <w:fldChar w:fldCharType="separate"/>
    </w:r>
    <w:r w:rsidR="006F6B29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26E42" w:rsidRDefault="00826E42">
      <w:r>
        <w:separator/>
      </w:r>
    </w:p>
  </w:footnote>
  <w:footnote w:type="continuationSeparator" w:id="0">
    <w:p w:rsidR="00826E42" w:rsidRDefault="00826E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44FAD" w:rsidRDefault="00B44FA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AAB"/>
    <w:rsid w:val="000A2CF1"/>
    <w:rsid w:val="000A67BE"/>
    <w:rsid w:val="00284869"/>
    <w:rsid w:val="003F448A"/>
    <w:rsid w:val="00405D24"/>
    <w:rsid w:val="00413AAB"/>
    <w:rsid w:val="005A2A15"/>
    <w:rsid w:val="005B566D"/>
    <w:rsid w:val="005E3C66"/>
    <w:rsid w:val="006375AF"/>
    <w:rsid w:val="006F6B29"/>
    <w:rsid w:val="007C55D8"/>
    <w:rsid w:val="00826E42"/>
    <w:rsid w:val="008D1AAC"/>
    <w:rsid w:val="009B751E"/>
    <w:rsid w:val="00A74901"/>
    <w:rsid w:val="00AF6555"/>
    <w:rsid w:val="00B20256"/>
    <w:rsid w:val="00B44FAD"/>
    <w:rsid w:val="00B71FEE"/>
    <w:rsid w:val="00BA50FA"/>
    <w:rsid w:val="00D347D3"/>
    <w:rsid w:val="00D45F03"/>
    <w:rsid w:val="00DA7C82"/>
    <w:rsid w:val="00DF7735"/>
    <w:rsid w:val="00F00083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D80DDEB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3060</Words>
  <Characters>17446</Characters>
  <Application>Microsoft Office Word</Application>
  <DocSecurity>0</DocSecurity>
  <Lines>145</Lines>
  <Paragraphs>40</Paragraphs>
  <ScaleCrop>false</ScaleCrop>
  <Company>MCIT</Company>
  <LinksUpToDate>false</LinksUpToDate>
  <CharactersWithSpaces>20466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11</cp:revision>
  <cp:lastPrinted>2010-01-18T13:20:00Z</cp:lastPrinted>
  <dcterms:created xsi:type="dcterms:W3CDTF">2016-04-25T11:03:00Z</dcterms:created>
  <dcterms:modified xsi:type="dcterms:W3CDTF">2026-09-21T18:08:00Z</dcterms:modified>
</cp:coreProperties>
</file>