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3AAB" w:rsidRDefault="00413AAB">
      <w:pPr>
        <w:widowControl w:val="0"/>
        <w:autoSpaceDE w:val="0"/>
        <w:autoSpaceDN w:val="0"/>
        <w:adjustRightInd w:val="0"/>
        <w:jc w:val="center"/>
      </w:pPr>
      <w:r>
        <w:t>ГУАП</w:t>
      </w:r>
    </w:p>
    <w:p w:rsidR="00413AAB" w:rsidRDefault="00413AAB">
      <w:pPr>
        <w:widowControl w:val="0"/>
        <w:autoSpaceDE w:val="0"/>
        <w:autoSpaceDN w:val="0"/>
        <w:adjustRightInd w:val="0"/>
        <w:spacing w:before="480"/>
        <w:jc w:val="center"/>
      </w:pPr>
      <w:r>
        <w:t xml:space="preserve">КАФЕДРА № </w:t>
      </w:r>
      <w:r w:rsidR="00405D24">
        <w:t>42</w:t>
      </w:r>
    </w:p>
    <w:p w:rsidR="00413AAB" w:rsidRDefault="00413AAB">
      <w:pPr>
        <w:widowControl w:val="0"/>
        <w:autoSpaceDE w:val="0"/>
        <w:autoSpaceDN w:val="0"/>
        <w:adjustRightInd w:val="0"/>
        <w:spacing w:before="1200"/>
      </w:pPr>
      <w:r>
        <w:t xml:space="preserve">ОТЧЕТ </w:t>
      </w:r>
      <w:r>
        <w:br/>
        <w:t>ЗАЩИЩЕН С ОЦЕНКОЙ</w:t>
      </w:r>
    </w:p>
    <w:p w:rsidR="00413AAB" w:rsidRDefault="00413AAB">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3"/>
        <w:gridCol w:w="2819"/>
        <w:gridCol w:w="277"/>
        <w:gridCol w:w="3017"/>
      </w:tblGrid>
      <w:tr w:rsidR="00413AAB">
        <w:tc>
          <w:tcPr>
            <w:tcW w:w="3260" w:type="dxa"/>
            <w:tcBorders>
              <w:top w:val="nil"/>
              <w:left w:val="nil"/>
              <w:right w:val="nil"/>
            </w:tcBorders>
            <w:vAlign w:val="center"/>
          </w:tcPr>
          <w:p w:rsidR="00413AAB" w:rsidRDefault="00413AAB">
            <w:pPr>
              <w:widowControl w:val="0"/>
              <w:autoSpaceDE w:val="0"/>
              <w:autoSpaceDN w:val="0"/>
              <w:adjustRightInd w:val="0"/>
              <w:jc w:val="center"/>
            </w:pPr>
            <w:r>
              <w:rPr>
                <w:color w:val="000000"/>
                <w:sz w:val="28"/>
              </w:rPr>
              <w:t>доцент, к.т.н.</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835" w:type="dxa"/>
            <w:tcBorders>
              <w:top w:val="nil"/>
              <w:left w:val="nil"/>
              <w:right w:val="nil"/>
            </w:tcBorders>
            <w:vAlign w:val="center"/>
          </w:tcPr>
          <w:p w:rsidR="00413AAB" w:rsidRDefault="00413AAB">
            <w:pPr>
              <w:widowControl w:val="0"/>
              <w:autoSpaceDE w:val="0"/>
              <w:autoSpaceDN w:val="0"/>
              <w:adjustRightInd w:val="0"/>
              <w:spacing w:before="120"/>
              <w:jc w:val="center"/>
            </w:pPr>
          </w:p>
        </w:tc>
        <w:tc>
          <w:tcPr>
            <w:tcW w:w="277"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3028" w:type="dxa"/>
            <w:tcBorders>
              <w:top w:val="nil"/>
              <w:left w:val="nil"/>
              <w:right w:val="nil"/>
            </w:tcBorders>
            <w:vAlign w:val="center"/>
          </w:tcPr>
          <w:p w:rsidR="00413AAB" w:rsidRDefault="00413AAB">
            <w:pPr>
              <w:widowControl w:val="0"/>
              <w:autoSpaceDE w:val="0"/>
              <w:autoSpaceDN w:val="0"/>
              <w:adjustRightInd w:val="0"/>
              <w:spacing w:before="120"/>
              <w:jc w:val="center"/>
            </w:pPr>
            <w:r>
              <w:rPr>
                <w:color w:val="000000"/>
                <w:sz w:val="28"/>
              </w:rPr>
              <w:t>А.В. Бржезовский</w:t>
            </w:r>
          </w:p>
        </w:tc>
      </w:tr>
      <w:tr w:rsidR="00413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835"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72"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3028"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tc>
          <w:tcPr>
            <w:tcW w:w="9465" w:type="dxa"/>
            <w:tcBorders>
              <w:top w:val="nil"/>
              <w:left w:val="nil"/>
              <w:bottom w:val="nil"/>
              <w:right w:val="nil"/>
            </w:tcBorders>
          </w:tcPr>
          <w:p w:rsidR="00413AAB" w:rsidRDefault="00413AAB">
            <w:pPr>
              <w:pStyle w:val="a5"/>
              <w:spacing w:before="960"/>
            </w:pPr>
            <w:r>
              <w:rPr>
                <w:color w:val="000000"/>
              </w:rPr>
              <w:t>ОТЧЕТ О ЛАБОРАТОРНОЙ РАБОТЕ № 8</w:t>
            </w:r>
          </w:p>
        </w:tc>
      </w:tr>
      <w:tr w:rsidR="00413AAB">
        <w:tc>
          <w:tcPr>
            <w:tcW w:w="9465" w:type="dxa"/>
            <w:tcBorders>
              <w:top w:val="nil"/>
              <w:left w:val="nil"/>
              <w:bottom w:val="nil"/>
              <w:right w:val="nil"/>
            </w:tcBorders>
          </w:tcPr>
          <w:p w:rsidR="00413AAB" w:rsidRPr="00F57E13" w:rsidRDefault="00413AAB" w:rsidP="00F57E13">
            <w:pPr>
              <w:pStyle w:val="1"/>
              <w:spacing w:before="720" w:after="720"/>
              <w:rPr>
                <w:b w:val="0"/>
                <w:szCs w:val="32"/>
              </w:rPr>
            </w:pPr>
            <w:r>
              <w:rPr>
                <w:b w:val="0"/>
                <w:color w:val="000000"/>
              </w:rPr>
              <w:t>Трассировка и тестирование требований</w:t>
            </w:r>
          </w:p>
        </w:tc>
      </w:tr>
      <w:tr w:rsidR="00413AAB">
        <w:tc>
          <w:tcPr>
            <w:tcW w:w="9465" w:type="dxa"/>
            <w:tcBorders>
              <w:top w:val="nil"/>
              <w:left w:val="nil"/>
              <w:bottom w:val="nil"/>
              <w:right w:val="nil"/>
            </w:tcBorders>
          </w:tcPr>
          <w:p w:rsidR="00413AAB" w:rsidRDefault="00413AAB" w:rsidP="00DA7C82">
            <w:pPr>
              <w:pStyle w:val="3"/>
              <w:spacing w:before="120"/>
              <w:rPr>
                <w:sz w:val="24"/>
                <w:szCs w:val="24"/>
                <w:lang w:val="ru-RU"/>
              </w:rPr>
            </w:pPr>
            <w:r w:rsidRPr="00345D61">
              <w:rPr>
                <w:color w:val="000000"/>
                <w:sz w:val="28"/>
                <w:lang w:val="ru-RU"/>
              </w:rPr>
              <w:t>по курсу: Разработка и анализ требований</w:t>
            </w:r>
          </w:p>
        </w:tc>
      </w:tr>
      <w:tr w:rsidR="00413AAB">
        <w:tc>
          <w:tcPr>
            <w:tcW w:w="9465" w:type="dxa"/>
            <w:tcBorders>
              <w:top w:val="nil"/>
              <w:left w:val="nil"/>
              <w:bottom w:val="nil"/>
              <w:right w:val="nil"/>
            </w:tcBorders>
          </w:tcPr>
          <w:p w:rsidR="00413AAB" w:rsidRDefault="00413AAB">
            <w:pPr>
              <w:pStyle w:val="3"/>
              <w:spacing w:before="240"/>
              <w:rPr>
                <w:sz w:val="28"/>
                <w:szCs w:val="28"/>
                <w:lang w:val="ru-RU"/>
              </w:rPr>
            </w:pPr>
          </w:p>
        </w:tc>
      </w:tr>
      <w:tr w:rsidR="00413AAB">
        <w:tc>
          <w:tcPr>
            <w:tcW w:w="9465" w:type="dxa"/>
            <w:tcBorders>
              <w:top w:val="nil"/>
              <w:left w:val="nil"/>
              <w:bottom w:val="nil"/>
              <w:right w:val="nil"/>
            </w:tcBorders>
          </w:tcPr>
          <w:p w:rsidR="00413AAB" w:rsidRDefault="00413AAB">
            <w:pPr>
              <w:widowControl w:val="0"/>
              <w:autoSpaceDE w:val="0"/>
              <w:autoSpaceDN w:val="0"/>
              <w:adjustRightInd w:val="0"/>
              <w:jc w:val="center"/>
            </w:pPr>
          </w:p>
        </w:tc>
      </w:tr>
    </w:tbl>
    <w:p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13AAB">
        <w:tc>
          <w:tcPr>
            <w:tcW w:w="2167" w:type="dxa"/>
            <w:tcBorders>
              <w:top w:val="nil"/>
              <w:left w:val="nil"/>
              <w:bottom w:val="nil"/>
              <w:right w:val="nil"/>
            </w:tcBorders>
            <w:vAlign w:val="bottom"/>
          </w:tcPr>
          <w:p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32" w:type="dxa"/>
            <w:tcBorders>
              <w:top w:val="nil"/>
              <w:left w:val="nil"/>
              <w:bottom w:val="single" w:sz="4" w:space="0" w:color="auto"/>
              <w:right w:val="nil"/>
            </w:tcBorders>
          </w:tcPr>
          <w:p w:rsidR="00413AAB" w:rsidRPr="00F57E13" w:rsidRDefault="00413AAB">
            <w:pPr>
              <w:widowControl w:val="0"/>
              <w:autoSpaceDE w:val="0"/>
              <w:autoSpaceDN w:val="0"/>
              <w:adjustRightInd w:val="0"/>
              <w:spacing w:before="120"/>
              <w:jc w:val="center"/>
              <w:rPr>
                <w:lang w:val="en-US"/>
              </w:rPr>
            </w:pPr>
            <w:r>
              <w:rPr>
                <w:color w:val="000000"/>
                <w:sz w:val="28"/>
              </w:rPr>
              <w:t>4321</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r>
              <w:rPr>
                <w:color w:val="000000"/>
                <w:sz w:val="28"/>
              </w:rPr>
              <w:t>Г.В. Буренков</w:t>
            </w:r>
          </w:p>
        </w:tc>
      </w:tr>
      <w:tr w:rsidR="00413AAB">
        <w:tc>
          <w:tcPr>
            <w:tcW w:w="2167"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rsidR="00413AAB" w:rsidRDefault="00413AAB">
            <w:pPr>
              <w:widowControl w:val="0"/>
              <w:autoSpaceDE w:val="0"/>
              <w:autoSpaceDN w:val="0"/>
              <w:adjustRightInd w:val="0"/>
              <w:spacing w:line="180" w:lineRule="exact"/>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29"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widowControl w:val="0"/>
        <w:autoSpaceDE w:val="0"/>
        <w:autoSpaceDN w:val="0"/>
        <w:adjustRightInd w:val="0"/>
        <w:rPr>
          <w:sz w:val="20"/>
          <w:szCs w:val="20"/>
        </w:rPr>
      </w:pPr>
    </w:p>
    <w:p w:rsidR="00413AAB" w:rsidRPr="00AF6555" w:rsidRDefault="00413AAB">
      <w:pPr>
        <w:widowControl w:val="0"/>
        <w:autoSpaceDE w:val="0"/>
        <w:autoSpaceDN w:val="0"/>
        <w:adjustRightInd w:val="0"/>
        <w:spacing w:before="1800"/>
        <w:jc w:val="center"/>
        <w:rPr>
          <w:lang w:val="en-US"/>
        </w:rPr>
      </w:pPr>
      <w:r>
        <w:t>Санкт-Петербург</w:t>
      </w:r>
      <w:r w:rsidR="005B566D">
        <w:rPr>
          <w:lang w:val="en-US"/>
        </w:rPr>
        <w:t xml:space="preserve"> </w:t>
      </w:r>
      <w:r w:rsidR="008D1AAC">
        <w:t>2026</w:t>
      </w:r>
    </w:p>
    <w:p w:rsidR="00D231FC" w:rsidRDefault="00D231FC">
      <w:pPr>
        <w:sectPr w:rsidR="00D231FC">
          <w:footerReference w:type="default" r:id="rId6"/>
          <w:type w:val="continuous"/>
          <w:pgSz w:w="11909" w:h="16834"/>
          <w:pgMar w:top="1134" w:right="567" w:bottom="1134" w:left="1701" w:header="720" w:footer="720" w:gutter="0"/>
          <w:cols w:space="720"/>
          <w:noEndnote/>
        </w:sectPr>
      </w:pPr>
    </w:p>
    <w:p>
      <w:pPr>
        <w:keepNext/>
        <w:spacing w:lineRule="auto" w:line="360" w:after="160" w:before="0"/>
        <w:ind w:firstLine="0" w:left="0"/>
        <w:jc w:val="center"/>
      </w:pPr>
      <w:r>
        <w:rPr>
          <w:rFonts w:ascii="Times New Roman" w:hAnsi="Times New Roman" w:eastAsia="Times New Roman" w:cs="Times New Roman"/>
          <w:b/>
          <w:i w:val="0"/>
          <w:sz w:val="28"/>
        </w:rPr>
        <w:t>СОДЕРЖАНИЕ</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ВВЕДЕНИЕ</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3</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1 Задание</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4</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2 Матрицы отслеживания</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5</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3 Тест-кейсы</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6</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4 Прогон</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8</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5 Проверка требований</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13</w:t>
      </w:r>
    </w:p>
    <w:p>
      <w:pPr>
        <w:tabs>
          <w:tab w:pos="9354" w:val="right" w:leader="dot"/>
        </w:tabs>
        <w:spacing w:lineRule="auto" w:line="360" w:after="0" w:before="0"/>
        <w:ind w:firstLine="0" w:left="0"/>
        <w:jc w:val="left"/>
      </w:pPr>
      <w:r>
        <w:rPr>
          <w:rFonts w:ascii="Times New Roman" w:hAnsi="Times New Roman" w:eastAsia="Times New Roman" w:cs="Times New Roman"/>
          <w:b w:val="0"/>
          <w:i w:val="0"/>
          <w:sz w:val="28"/>
        </w:rPr>
        <w:t>ЗАКЛЮЧЕНИЕ</w:t>
      </w:r>
      <w:r>
        <w:rPr>
          <w:rFonts w:ascii="Times New Roman" w:hAnsi="Times New Roman" w:eastAsia="Times New Roman" w:cs="Times New Roman"/>
          <w:b w:val="0"/>
          <w:i w:val="0"/>
          <w:sz w:val="28"/>
        </w:rPr>
        <w:tab/>
      </w:r>
      <w:r>
        <w:rPr>
          <w:rFonts w:ascii="Times New Roman" w:hAnsi="Times New Roman" w:eastAsia="Times New Roman" w:cs="Times New Roman"/>
          <w:b w:val="0"/>
          <w:i w:val="0"/>
          <w:sz w:val="28"/>
        </w:rPr>
        <w:t>14</w:t>
      </w:r>
    </w:p>
    <w:p>
      <w:r>
        <w:br w:type="page"/>
      </w:r>
    </w:p>
    <w:p>
      <w:pPr>
        <w:keepNext/>
        <w:spacing w:lineRule="auto" w:line="360" w:after="160" w:before="0"/>
        <w:ind w:firstLine="0" w:left="0"/>
        <w:jc w:val="center"/>
      </w:pPr>
      <w:r>
        <w:rPr>
          <w:rFonts w:ascii="Times New Roman" w:hAnsi="Times New Roman" w:eastAsia="Times New Roman" w:cs="Times New Roman"/>
          <w:b/>
          <w:i w:val="0"/>
          <w:sz w:val="28"/>
        </w:rPr>
        <w:t>ВВЕДЕНИЕ</w:t>
      </w:r>
    </w:p>
    <w:p>
      <w:pPr>
        <w:spacing w:lineRule="auto" w:line="360" w:after="0" w:before="0"/>
        <w:ind w:firstLine="709" w:left="0"/>
        <w:jc w:val="both"/>
      </w:pPr>
      <w:r>
        <w:rPr>
          <w:rFonts w:ascii="Times New Roman" w:hAnsi="Times New Roman" w:eastAsia="Times New Roman" w:cs="Times New Roman"/>
          <w:b w:val="0"/>
          <w:i w:val="0"/>
          <w:sz w:val="28"/>
        </w:rPr>
        <w:t>Цель работы — проследить требования АИС железной дороги до экранов и тест-кейсов и проверить требования прогоном. Матрицы отслеживания связывают правило, вариант использования, экран и тест. Тест-кейсы собраны по сценариям вариантов: основной ход и отказ. Прогон показывает, какой ответ дал слой данных.</w:t>
      </w:r>
    </w:p>
    <w:p>
      <w:r>
        <w:br w:type="page"/>
      </w:r>
    </w:p>
    <w:p>
      <w:pPr>
        <w:keepNext/>
        <w:spacing w:lineRule="auto" w:line="360" w:after="80" w:before="160"/>
        <w:ind w:firstLine="709" w:left="0"/>
        <w:jc w:val="left"/>
      </w:pPr>
      <w:r>
        <w:rPr>
          <w:rFonts w:ascii="Times New Roman" w:hAnsi="Times New Roman" w:eastAsia="Times New Roman" w:cs="Times New Roman"/>
          <w:b/>
          <w:i w:val="0"/>
          <w:sz w:val="28"/>
        </w:rPr>
        <w:t>1 Задание</w:t>
      </w:r>
    </w:p>
    <w:p>
      <w:pPr>
        <w:spacing w:lineRule="auto" w:line="360" w:after="0" w:before="0"/>
        <w:ind w:firstLine="709" w:left="0"/>
        <w:jc w:val="both"/>
      </w:pPr>
      <w:r>
        <w:rPr>
          <w:rFonts w:ascii="Times New Roman" w:hAnsi="Times New Roman" w:eastAsia="Times New Roman" w:cs="Times New Roman"/>
          <w:b w:val="0"/>
          <w:i w:val="0"/>
          <w:sz w:val="28"/>
        </w:rPr>
        <w:t>Трассировка сделана матрицами по главе 29 Вигерса: от бизнес-правила к варианту использования, от варианта к экранной форме и от варианта к тесту. Тест-кейсы построены по статье о генерации тестов из вариантов использования: сценарий, условия, конкретные значения, ожидаемый результат. Проверка требований выполнена на прототипе, как приём из главы 17 Вигерса: тест ищет не только сбой экрана, но и пропуск в формулировке требования.</w:t>
      </w:r>
    </w:p>
    <w:p>
      <w:r>
        <w:br w:type="page"/>
      </w:r>
    </w:p>
    <w:p>
      <w:pPr>
        <w:keepNext/>
        <w:spacing w:lineRule="auto" w:line="360" w:after="80" w:before="160"/>
        <w:ind w:firstLine="709" w:left="0"/>
        <w:jc w:val="left"/>
      </w:pPr>
      <w:r>
        <w:rPr>
          <w:rFonts w:ascii="Times New Roman" w:hAnsi="Times New Roman" w:eastAsia="Times New Roman" w:cs="Times New Roman"/>
          <w:b/>
          <w:i w:val="0"/>
          <w:sz w:val="28"/>
        </w:rPr>
        <w:t>2 Матрицы отслеживания</w:t>
      </w:r>
    </w:p>
    <w:p>
      <w:pPr>
        <w:spacing w:lineRule="auto" w:line="360" w:after="0" w:before="0"/>
        <w:ind w:firstLine="709" w:left="0"/>
        <w:jc w:val="both"/>
      </w:pPr>
      <w:r>
        <w:rPr>
          <w:rFonts w:ascii="Times New Roman" w:hAnsi="Times New Roman" w:eastAsia="Times New Roman" w:cs="Times New Roman"/>
          <w:b w:val="0"/>
          <w:i w:val="0"/>
          <w:sz w:val="28"/>
        </w:rPr>
        <w:t>Таблица 1 связывает уже принятые правила с вариантами UC-1–UC-9. Таблица 2 доводит вариант до экрана прототипа. Таблица 3 доводит вариант до идентификатора теста, который разобран ниже.</w:t>
      </w:r>
    </w:p>
    <w:p>
      <w:pPr>
        <w:keepNext/>
        <w:spacing w:line="240" w:lineRule="auto" w:after="120" w:before="160"/>
        <w:ind w:firstLine="0" w:left="0"/>
        <w:jc w:val="left"/>
      </w:pPr>
      <w:r>
        <w:rPr>
          <w:rFonts w:ascii="Times New Roman" w:hAnsi="Times New Roman" w:eastAsia="Times New Roman" w:cs="Times New Roman"/>
          <w:b w:val="0"/>
          <w:i w:val="0"/>
          <w:sz w:val="28"/>
        </w:rPr>
        <w:t>Таблица 1 — Правила и варианты использования</w:t>
      </w:r>
    </w:p>
    <w:tbl>
      <w:tblPr>
        <w:tblW w:type="dxa" w:w="9354"/>
        <w:jc w:val="left"/>
        <w:tblLayout w:type="fixed"/>
        <w:tblLook w:firstColumn="1" w:firstRow="1" w:lastColumn="0" w:lastRow="0" w:noHBand="0" w:noVBand="1" w:val="04A0"/>
      </w:tblPr>
      <w:tblGrid>
        <w:gridCol w:w="5669"/>
        <w:gridCol w:w="3685"/>
      </w:tblGrid>
      <w:tr>
        <w:tc>
          <w:tcPr>
            <w:tcW w:type="dxa" w:w="5669"/>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Правило</w:t>
            </w:r>
          </w:p>
        </w:tc>
        <w:tc>
          <w:tcPr>
            <w:tcW w:type="dxa" w:w="3685"/>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Вариант</w:t>
            </w:r>
          </w:p>
        </w:tc>
      </w:tr>
      <w:tr>
        <w:tc>
          <w:tcPr>
            <w:tcW w:type="dxa" w:w="5669"/>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Публикация рейса и фонд мест</w:t>
            </w:r>
          </w:p>
        </w:tc>
        <w:tc>
          <w:tcPr>
            <w:tcW w:type="dxa" w:w="3685"/>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UC-1</w:t>
            </w:r>
          </w:p>
        </w:tc>
      </w:tr>
      <w:tr>
        <w:tc>
          <w:tcPr>
            <w:tcW w:type="dxa" w:w="5669"/>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Продажа, в том числе запрет второго билета на место</w:t>
            </w:r>
          </w:p>
        </w:tc>
        <w:tc>
          <w:tcPr>
            <w:tcW w:type="dxa" w:w="3685"/>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UC-2</w:t>
            </w:r>
          </w:p>
        </w:tc>
      </w:tr>
      <w:tr>
        <w:tc>
          <w:tcPr>
            <w:tcW w:type="dxa" w:w="5669"/>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Отмена рейса закрывает новые продажи</w:t>
            </w:r>
          </w:p>
        </w:tc>
        <w:tc>
          <w:tcPr>
            <w:tcW w:type="dxa" w:w="3685"/>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UC-3</w:t>
            </w:r>
          </w:p>
        </w:tc>
      </w:tr>
      <w:tr>
        <w:tc>
          <w:tcPr>
            <w:tcW w:type="dxa" w:w="5669"/>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Посадка отмечается один раз</w:t>
            </w:r>
          </w:p>
        </w:tc>
        <w:tc>
          <w:tcPr>
            <w:tcW w:type="dxa" w:w="3685"/>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UC-4</w:t>
            </w:r>
          </w:p>
        </w:tc>
      </w:tr>
      <w:tr>
        <w:tc>
          <w:tcPr>
            <w:tcW w:type="dxa" w:w="5669"/>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Возврат до посадки</w:t>
            </w:r>
          </w:p>
        </w:tc>
        <w:tc>
          <w:tcPr>
            <w:tcW w:type="dxa" w:w="3685"/>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UC-5</w:t>
            </w:r>
          </w:p>
        </w:tc>
      </w:tr>
      <w:tr>
        <w:tc>
          <w:tcPr>
            <w:tcW w:type="dxa" w:w="5669"/>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Станции и схемы вагонов</w:t>
            </w:r>
          </w:p>
        </w:tc>
        <w:tc>
          <w:tcPr>
            <w:tcW w:type="dxa" w:w="3685"/>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UC-6</w:t>
            </w:r>
          </w:p>
        </w:tc>
      </w:tr>
      <w:tr>
        <w:tc>
          <w:tcPr>
            <w:tcW w:type="dxa" w:w="5669"/>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Маршрут из двух разных станций</w:t>
            </w:r>
          </w:p>
        </w:tc>
        <w:tc>
          <w:tcPr>
            <w:tcW w:type="dxa" w:w="3685"/>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UC-7</w:t>
            </w:r>
          </w:p>
        </w:tc>
      </w:tr>
      <w:tr>
        <w:tc>
          <w:tcPr>
            <w:tcW w:type="dxa" w:w="5669"/>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Открытие и закрытие смены</w:t>
            </w:r>
          </w:p>
        </w:tc>
        <w:tc>
          <w:tcPr>
            <w:tcW w:type="dxa" w:w="3685"/>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UC-8</w:t>
            </w:r>
          </w:p>
        </w:tc>
      </w:tr>
      <w:tr>
        <w:tc>
          <w:tcPr>
            <w:tcW w:type="dxa" w:w="5669"/>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Обслуживание станции, ремонт, инвентаризация</w:t>
            </w:r>
          </w:p>
        </w:tc>
        <w:tc>
          <w:tcPr>
            <w:tcW w:type="dxa" w:w="3685"/>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UC-9</w:t>
            </w:r>
          </w:p>
        </w:tc>
      </w:tr>
    </w:tbl>
    <w:p>
      <w:pPr>
        <w:keepNext/>
        <w:spacing w:line="240" w:lineRule="auto" w:after="120" w:before="160"/>
        <w:ind w:firstLine="0" w:left="0"/>
        <w:jc w:val="left"/>
      </w:pPr>
      <w:r>
        <w:rPr>
          <w:rFonts w:ascii="Times New Roman" w:hAnsi="Times New Roman" w:eastAsia="Times New Roman" w:cs="Times New Roman"/>
          <w:b w:val="0"/>
          <w:i w:val="0"/>
          <w:sz w:val="28"/>
        </w:rPr>
        <w:t>Таблица 2 — Вариант и экран</w:t>
      </w:r>
    </w:p>
    <w:tbl>
      <w:tblPr>
        <w:tblW w:type="dxa" w:w="9354"/>
        <w:jc w:val="left"/>
        <w:tblLayout w:type="fixed"/>
        <w:tblLook w:firstColumn="1" w:firstRow="1" w:lastColumn="0" w:lastRow="0" w:noHBand="0" w:noVBand="1" w:val="04A0"/>
      </w:tblPr>
      <w:tblGrid>
        <w:gridCol w:w="1700"/>
        <w:gridCol w:w="4251"/>
        <w:gridCol w:w="3401"/>
      </w:tblGrid>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Вариант</w:t>
            </w:r>
          </w:p>
        </w:tc>
        <w:tc>
          <w:tcPr>
            <w:tcW w:type="dxa" w:w="425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Экран</w:t>
            </w:r>
          </w:p>
        </w:tc>
        <w:tc>
          <w:tcPr>
            <w:tcW w:type="dxa" w:w="340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Кто открывает</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UC-1</w:t>
            </w:r>
          </w:p>
        </w:tc>
        <w:tc>
          <w:tcPr>
            <w:tcW w:type="dxa" w:w="425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Опубликовать рейс, отменить рейс</w:t>
            </w:r>
          </w:p>
        </w:tc>
        <w:tc>
          <w:tcPr>
            <w:tcW w:type="dxa" w:w="340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Диспетчер расписания</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UC-2</w:t>
            </w:r>
          </w:p>
        </w:tc>
        <w:tc>
          <w:tcPr>
            <w:tcW w:type="dxa" w:w="425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Продать билет</w:t>
            </w:r>
          </w:p>
        </w:tc>
        <w:tc>
          <w:tcPr>
            <w:tcW w:type="dxa" w:w="340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Кассир при открытой смене</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UC-3</w:t>
            </w:r>
          </w:p>
        </w:tc>
        <w:tc>
          <w:tcPr>
            <w:tcW w:type="dxa" w:w="425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Отменить рейс, затем продажа</w:t>
            </w:r>
          </w:p>
        </w:tc>
        <w:tc>
          <w:tcPr>
            <w:tcW w:type="dxa" w:w="340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Диспетчер, затем кассир</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UC-4</w:t>
            </w:r>
          </w:p>
        </w:tc>
        <w:tc>
          <w:tcPr>
            <w:tcW w:type="dxa" w:w="425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Отметить посадку</w:t>
            </w:r>
          </w:p>
        </w:tc>
        <w:tc>
          <w:tcPr>
            <w:tcW w:type="dxa" w:w="340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Контролёр</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UC-5</w:t>
            </w:r>
          </w:p>
        </w:tc>
        <w:tc>
          <w:tcPr>
            <w:tcW w:type="dxa" w:w="425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Вернуть билет</w:t>
            </w:r>
          </w:p>
        </w:tc>
        <w:tc>
          <w:tcPr>
            <w:tcW w:type="dxa" w:w="340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Кассир</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UC-6</w:t>
            </w:r>
          </w:p>
        </w:tc>
        <w:tc>
          <w:tcPr>
            <w:tcW w:type="dxa" w:w="425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Справочник станций, схемы вагонов</w:t>
            </w:r>
          </w:p>
        </w:tc>
        <w:tc>
          <w:tcPr>
            <w:tcW w:type="dxa" w:w="340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Администратор справочников</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UC-7</w:t>
            </w:r>
          </w:p>
        </w:tc>
        <w:tc>
          <w:tcPr>
            <w:tcW w:type="dxa" w:w="425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Составить маршрут</w:t>
            </w:r>
          </w:p>
        </w:tc>
        <w:tc>
          <w:tcPr>
            <w:tcW w:type="dxa" w:w="340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Диспетчер расписания</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UC-8</w:t>
            </w:r>
          </w:p>
        </w:tc>
        <w:tc>
          <w:tcPr>
            <w:tcW w:type="dxa" w:w="425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Вход и закрыть смену</w:t>
            </w:r>
          </w:p>
        </w:tc>
        <w:tc>
          <w:tcPr>
            <w:tcW w:type="dxa" w:w="340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Кассир, контролёр</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UC-9</w:t>
            </w:r>
          </w:p>
        </w:tc>
        <w:tc>
          <w:tcPr>
            <w:tcW w:type="dxa" w:w="425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Обслуживание, заявка, инвентаризация</w:t>
            </w:r>
          </w:p>
        </w:tc>
        <w:tc>
          <w:tcPr>
            <w:tcW w:type="dxa" w:w="3402"/>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Дежурный и инженеры</w:t>
            </w:r>
          </w:p>
        </w:tc>
      </w:tr>
    </w:tbl>
    <w:p>
      <w:pPr>
        <w:keepNext/>
        <w:spacing w:line="240" w:lineRule="auto" w:after="120" w:before="160"/>
        <w:ind w:firstLine="0" w:left="0"/>
        <w:jc w:val="left"/>
      </w:pPr>
      <w:r>
        <w:rPr>
          <w:rFonts w:ascii="Times New Roman" w:hAnsi="Times New Roman" w:eastAsia="Times New Roman" w:cs="Times New Roman"/>
          <w:b w:val="0"/>
          <w:i w:val="0"/>
          <w:sz w:val="28"/>
        </w:rPr>
        <w:t>Таблица 3 — Вариант и тест</w:t>
      </w:r>
    </w:p>
    <w:tbl>
      <w:tblPr>
        <w:tblW w:type="dxa" w:w="9354"/>
        <w:jc w:val="left"/>
        <w:tblLayout w:type="fixed"/>
        <w:tblLook w:firstColumn="1" w:firstRow="1" w:lastColumn="0" w:lastRow="0" w:noHBand="0" w:noVBand="1" w:val="04A0"/>
      </w:tblPr>
      <w:tblGrid>
        <w:gridCol w:w="1700"/>
        <w:gridCol w:w="7653"/>
      </w:tblGrid>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Вариант</w:t>
            </w:r>
          </w:p>
        </w:tc>
        <w:tc>
          <w:tcPr>
            <w:tcW w:type="dxa" w:w="765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Тесты</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UC-1</w:t>
            </w:r>
          </w:p>
        </w:tc>
        <w:tc>
          <w:tcPr>
            <w:tcW w:type="dxa" w:w="765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TC-1.1 публикация занятого номера, TC-1.2 повтор отмены, TC-1.3 номер после отмены</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UC-2</w:t>
            </w:r>
          </w:p>
        </w:tc>
        <w:tc>
          <w:tcPr>
            <w:tcW w:type="dxa" w:w="765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TC-2.1 продажа места 12, TC-2.2 повтор места, TC-2.3 продажа без смены, TC-2.4 продажа закрытого рейса</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UC-3</w:t>
            </w:r>
          </w:p>
        </w:tc>
        <w:tc>
          <w:tcPr>
            <w:tcW w:type="dxa" w:w="765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TC-1.2 и TC-2.4</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UC-4</w:t>
            </w:r>
          </w:p>
        </w:tc>
        <w:tc>
          <w:tcPr>
            <w:tcW w:type="dxa" w:w="765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TC-4.1 первая посадка, TC-4.2 повтор</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UC-5</w:t>
            </w:r>
          </w:p>
        </w:tc>
        <w:tc>
          <w:tcPr>
            <w:tcW w:type="dxa" w:w="765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TC-5.2 возврат до посадки, TC-5.1 возврат после посадки</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UC-6</w:t>
            </w:r>
          </w:p>
        </w:tc>
        <w:tc>
          <w:tcPr>
            <w:tcW w:type="dxa" w:w="765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TC-6.1 новая станция, TC-6.2 повтор кода</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UC-7</w:t>
            </w:r>
          </w:p>
        </w:tc>
        <w:tc>
          <w:tcPr>
            <w:tcW w:type="dxa" w:w="765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TC-7.1 маршрут из двух станций, TC-7.2 повтор станции</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UC-8</w:t>
            </w:r>
          </w:p>
        </w:tc>
        <w:tc>
          <w:tcPr>
            <w:tcW w:type="dxa" w:w="765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TC-8.1 вход открывает смену, TC-8.2 черновик не даёт закрыть смену</w:t>
            </w:r>
          </w:p>
        </w:tc>
      </w:tr>
      <w:tr>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UC-9</w:t>
            </w:r>
          </w:p>
        </w:tc>
        <w:tc>
          <w:tcPr>
            <w:tcW w:type="dxa" w:w="765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TC-9.1 дежурный не закрывает заявку, TC-9.2 инженер закрывает, TC-9.4 первая инвентаризация, TC-9.3 повтор</w:t>
            </w:r>
          </w:p>
        </w:tc>
      </w:tr>
    </w:tbl>
    <w:p>
      <w:r>
        <w:br w:type="page"/>
      </w:r>
    </w:p>
    <w:p>
      <w:pPr>
        <w:keepNext/>
        <w:spacing w:lineRule="auto" w:line="360" w:after="80" w:before="160"/>
        <w:ind w:firstLine="709" w:left="0"/>
        <w:jc w:val="left"/>
      </w:pPr>
      <w:r>
        <w:rPr>
          <w:rFonts w:ascii="Times New Roman" w:hAnsi="Times New Roman" w:eastAsia="Times New Roman" w:cs="Times New Roman"/>
          <w:b/>
          <w:i w:val="0"/>
          <w:sz w:val="28"/>
        </w:rPr>
        <w:t>3 Тест-кейсы</w:t>
      </w:r>
    </w:p>
    <w:p>
      <w:pPr>
        <w:spacing w:lineRule="auto" w:line="360" w:after="0" w:before="0"/>
        <w:ind w:firstLine="709" w:left="0"/>
        <w:jc w:val="both"/>
      </w:pPr>
      <w:r>
        <w:rPr>
          <w:rFonts w:ascii="Times New Roman" w:hAnsi="Times New Roman" w:eastAsia="Times New Roman" w:cs="Times New Roman"/>
          <w:b w:val="0"/>
          <w:i w:val="0"/>
          <w:sz w:val="28"/>
        </w:rPr>
        <w:t>Для продажи разобраны сценарии, как в образце тест-кейсов. Сценарий 1 — основной ход. Сценарий 2 — место уже продано. Сценарий 3 — нет смены. Сценарий 4 — рейс закрыт. В матрице V означает допустимое значение, I — недопустимое, прочерк — условие к этому шагу не относится.</w:t>
      </w:r>
    </w:p>
    <w:p>
      <w:pPr>
        <w:keepNext/>
        <w:spacing w:line="240" w:lineRule="auto" w:after="120" w:before="160"/>
        <w:ind w:firstLine="0" w:left="0"/>
        <w:jc w:val="left"/>
      </w:pPr>
      <w:r>
        <w:rPr>
          <w:rFonts w:ascii="Times New Roman" w:hAnsi="Times New Roman" w:eastAsia="Times New Roman" w:cs="Times New Roman"/>
          <w:b w:val="0"/>
          <w:i w:val="0"/>
          <w:sz w:val="28"/>
        </w:rPr>
        <w:t>Таблица 4 — Тест-кейсы продажи, UC-2</w:t>
      </w:r>
    </w:p>
    <w:tbl>
      <w:tblPr>
        <w:tblW w:type="dxa" w:w="9354"/>
        <w:jc w:val="left"/>
        <w:tblLayout w:type="fixed"/>
        <w:tblLook w:firstColumn="1" w:firstRow="1" w:lastColumn="0" w:lastRow="0" w:noHBand="0" w:noVBand="1" w:val="04A0"/>
      </w:tblPr>
      <w:tblGrid>
        <w:gridCol w:w="1247"/>
        <w:gridCol w:w="1587"/>
        <w:gridCol w:w="1700"/>
        <w:gridCol w:w="1814"/>
        <w:gridCol w:w="1360"/>
        <w:gridCol w:w="1644"/>
      </w:tblGrid>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ID</w:t>
            </w:r>
          </w:p>
        </w:tc>
        <w:tc>
          <w:tcPr>
            <w:tcW w:type="dxa" w:w="158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Сценарий</w:t>
            </w:r>
          </w:p>
        </w:tc>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Рейс</w:t>
            </w:r>
          </w:p>
        </w:tc>
        <w:tc>
          <w:tcPr>
            <w:tcW w:type="dxa" w:w="181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Место</w:t>
            </w:r>
          </w:p>
        </w:tc>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Смена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Ожидаемый ответ</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TC-2.1</w:t>
            </w:r>
          </w:p>
        </w:tc>
        <w:tc>
          <w:tcPr>
            <w:tcW w:type="dxa" w:w="158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основной ход</w:t>
            </w:r>
          </w:p>
        </w:tc>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102 открыт</w:t>
            </w:r>
          </w:p>
        </w:tc>
        <w:tc>
          <w:tcPr>
            <w:tcW w:type="dxa" w:w="181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12 свободно</w:t>
            </w:r>
          </w:p>
        </w:tc>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открыта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Билет проведён, купон отправлен на печать.</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TC-2.2</w:t>
            </w:r>
          </w:p>
        </w:tc>
        <w:tc>
          <w:tcPr>
            <w:tcW w:type="dxa" w:w="158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место занято</w:t>
            </w:r>
          </w:p>
        </w:tc>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102</w:t>
            </w:r>
          </w:p>
        </w:tc>
        <w:tc>
          <w:tcPr>
            <w:tcW w:type="dxa" w:w="181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12 уже продано</w:t>
            </w:r>
          </w:p>
        </w:tc>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открыта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Место 12 рейса 102 уже продано. Второй билет не создан.</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TC-2.3</w:t>
            </w:r>
          </w:p>
        </w:tc>
        <w:tc>
          <w:tcPr>
            <w:tcW w:type="dxa" w:w="158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нет смены</w:t>
            </w:r>
          </w:p>
        </w:tc>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102</w:t>
            </w:r>
          </w:p>
        </w:tc>
        <w:tc>
          <w:tcPr>
            <w:tcW w:type="dxa" w:w="181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15</w:t>
            </w:r>
          </w:p>
        </w:tc>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закрыта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Нет обслуживания станции или открытой смены.</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TC-2.4</w:t>
            </w:r>
          </w:p>
        </w:tc>
        <w:tc>
          <w:tcPr>
            <w:tcW w:type="dxa" w:w="158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рейс закрыт</w:t>
            </w:r>
          </w:p>
        </w:tc>
        <w:tc>
          <w:tcPr>
            <w:tcW w:type="dxa" w:w="170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102 отменён</w:t>
            </w:r>
          </w:p>
        </w:tc>
        <w:tc>
          <w:tcPr>
            <w:tcW w:type="dxa" w:w="181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16</w:t>
            </w:r>
          </w:p>
        </w:tc>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открыта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Рейс закрыт. Билет не создан.</w:t>
            </w:r>
          </w:p>
        </w:tc>
      </w:tr>
    </w:tbl>
    <w:p>
      <w:pPr>
        <w:spacing w:lineRule="auto" w:line="360" w:after="0" w:before="0"/>
        <w:ind w:firstLine="709" w:left="0"/>
        <w:jc w:val="both"/>
      </w:pPr>
      <w:r>
        <w:rPr>
          <w:rFonts w:ascii="Times New Roman" w:hAnsi="Times New Roman" w:eastAsia="Times New Roman" w:cs="Times New Roman"/>
          <w:b w:val="0"/>
          <w:i w:val="0"/>
          <w:sz w:val="28"/>
        </w:rPr>
        <w:t>Таблица 5 задаёт остальные кейсы тем же способом: сценарий, пометка V или I и дословный ожидаемый ответ. Этот ответ записан до прогона. Коды M-13 и M-14 стоят в условии маршрута: M-13 допустим, M-14 с повторной станцией недопустим.</w:t>
      </w:r>
    </w:p>
    <w:p>
      <w:pPr>
        <w:keepNext/>
        <w:spacing w:line="240" w:lineRule="auto" w:after="120" w:before="160"/>
        <w:ind w:firstLine="0" w:left="0"/>
        <w:jc w:val="left"/>
      </w:pPr>
      <w:r>
        <w:rPr>
          <w:rFonts w:ascii="Times New Roman" w:hAnsi="Times New Roman" w:eastAsia="Times New Roman" w:cs="Times New Roman"/>
          <w:b w:val="0"/>
          <w:i w:val="0"/>
          <w:sz w:val="28"/>
        </w:rPr>
        <w:t>Таблица 5 — Тест-кейсы остальных вариантов</w:t>
      </w:r>
    </w:p>
    <w:tbl>
      <w:tblPr>
        <w:tblW w:type="dxa" w:w="9354"/>
        <w:jc w:val="left"/>
        <w:tblLayout w:type="fixed"/>
        <w:tblLook w:firstColumn="1" w:firstRow="1" w:lastColumn="0" w:lastRow="0" w:noHBand="0" w:noVBand="1" w:val="04A0"/>
      </w:tblPr>
      <w:tblGrid>
        <w:gridCol w:w="1247"/>
        <w:gridCol w:w="2040"/>
        <w:gridCol w:w="2948"/>
        <w:gridCol w:w="3118"/>
      </w:tblGrid>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ID</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Сценарий</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Условие</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Ожидаемый ответ</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TC-1.1</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номер уже открыт</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рейс 102 уже открыт</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Рейс с этим номером уже открыт.</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TC-1.2</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повтор отмены</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рейс 102 уже отменён</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Рейс уже отменён. Повторная отмена не создана.</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TC-1.3</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номер после отмены</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номер 102 отменён</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Рейс отменён. Тем же номером не открывается.</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TC-4.1</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первая посадка</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билет 102-12, V смена открыта</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Посадка отмечена один раз.</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TC-4.2</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повтор посадки</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отметка уже есть</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Отметка посадки уже есть.</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TC-5.2</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возврат до посадки</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билет 102-15, V посадка не стоит</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Билет возвращён, место свободно.</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TC-5.1</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возврат после посадки</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посадка билета 102-12 отмечена</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Посадка уже отмечена. Возврат не проведён.</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TC-6.1</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новая станция</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код LUG свободен</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Станция Луговая сохранена. Код LUG уникален.</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TC-6.2</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повтор кода</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код LUG уже есть</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Код LUG уже есть. Вторая станция не записана.</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TC-7.1</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две станции</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код M-13, V «Северная — Южная»</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Маршрут сохранён: две станции, без повтора.</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TC-7.2</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повтор станции</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код M-14, I «Северная — Северная»</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Станция в маршруте повторяется. Маршрут не сохранён.</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TC-8.1</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вход кассира</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роль кассир, V станция в обслуживании</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Смена открыта.</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TC-8.2</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смена при черновике</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черновик продажи есть</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Есть черновик продажи. Смена не закрыта.</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TC-9.1</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закрытие дежурным</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роль дежурный</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Закрыть заявку может только инженер после отметки устранения.</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TC-9.2</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закрытие инженером</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роль инженер</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Заявка закрыта.</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TC-9.4</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первая инвентаризация</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V касса 1, V дата 2026-10-20 свободна</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Инвентаризация за 2026-10-20 проведена. Повтор на эту дату закрыт.</w:t>
            </w:r>
          </w:p>
        </w:tc>
      </w:tr>
      <w:tr>
        <w:tc>
          <w:tcPr>
            <w:tcW w:type="dxa" w:w="1247"/>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TC-9.3</w:t>
            </w:r>
          </w:p>
        </w:tc>
        <w:tc>
          <w:tcPr>
            <w:tcW w:type="dxa" w:w="204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повтор инвентаризации</w:t>
            </w:r>
          </w:p>
        </w:tc>
        <w:tc>
          <w:tcPr>
            <w:tcW w:type="dxa" w:w="294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I касса 1 за 2026-10-20 уже есть</w:t>
            </w:r>
          </w:p>
        </w:tc>
        <w:tc>
          <w:tcPr>
            <w:tcW w:type="dxa" w:w="3118"/>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Инвентаризация Касса 1 за 2026-10-20 уже есть. Повтор закрыт.</w:t>
            </w:r>
          </w:p>
        </w:tc>
      </w:tr>
    </w:tbl>
    <w:p>
      <w:r>
        <w:br w:type="page"/>
      </w:r>
    </w:p>
    <w:p>
      <w:pPr>
        <w:keepNext/>
        <w:spacing w:lineRule="auto" w:line="360" w:after="80" w:before="160"/>
        <w:ind w:firstLine="709" w:left="0"/>
        <w:jc w:val="left"/>
      </w:pPr>
      <w:r>
        <w:rPr>
          <w:rFonts w:ascii="Times New Roman" w:hAnsi="Times New Roman" w:eastAsia="Times New Roman" w:cs="Times New Roman"/>
          <w:b/>
          <w:i w:val="0"/>
          <w:sz w:val="28"/>
        </w:rPr>
        <w:t>4 Прогон</w:t>
      </w:r>
    </w:p>
    <w:p>
      <w:pPr>
        <w:spacing w:lineRule="auto" w:line="360" w:after="0" w:before="0"/>
        <w:ind w:firstLine="709" w:left="0"/>
        <w:jc w:val="both"/>
      </w:pPr>
      <w:r>
        <w:rPr>
          <w:rFonts w:ascii="Times New Roman" w:hAnsi="Times New Roman" w:eastAsia="Times New Roman" w:cs="Times New Roman"/>
          <w:b w:val="0"/>
          <w:i w:val="0"/>
          <w:sz w:val="28"/>
        </w:rPr>
        <w:t>Прогон выполнен на прототипе. Экран показывает тот текст, который вернул слой. Таблица 6 ставит рядом ответ прогона и итог. Для каждого теста этот ответ совпадает с ожидаемым текстом таблиц 4 и 5. После TC-7.1 в списке маршрутов есть M-13, после TC-7.2 кода M-14 нет. Рисунки 1–4 фиксируют успешную продажу места 12, отказ второго билета на это место, запись станции LUG и отказ повторного кода.</w:t>
      </w:r>
    </w:p>
    <w:p>
      <w:pPr>
        <w:keepNext/>
        <w:spacing w:line="240" w:lineRule="auto" w:after="120" w:before="160"/>
        <w:ind w:firstLine="0" w:left="0"/>
        <w:jc w:val="left"/>
      </w:pPr>
      <w:r>
        <w:rPr>
          <w:rFonts w:ascii="Times New Roman" w:hAnsi="Times New Roman" w:eastAsia="Times New Roman" w:cs="Times New Roman"/>
          <w:b w:val="0"/>
          <w:i w:val="0"/>
          <w:sz w:val="28"/>
        </w:rPr>
        <w:t>Таблица 6 — Ответ прогона</w:t>
      </w:r>
    </w:p>
    <w:tbl>
      <w:tblPr>
        <w:tblW w:type="dxa" w:w="9354"/>
        <w:jc w:val="left"/>
        <w:tblLayout w:type="fixed"/>
        <w:tblLook w:firstColumn="1" w:firstRow="1" w:lastColumn="0" w:lastRow="0" w:noHBand="0" w:noVBand="1" w:val="04A0"/>
      </w:tblPr>
      <w:tblGrid>
        <w:gridCol w:w="1360"/>
        <w:gridCol w:w="6349"/>
        <w:gridCol w:w="1644"/>
      </w:tblGrid>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Тест</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Ответ</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i w:val="0"/>
                <w:sz w:val="22"/>
              </w:rPr>
              <w:t>Итог</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TC-8.1</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Смена открыта.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TC-2.1</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Билет проведён, купон отправлен на печать.</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TC-2.2</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Место 12 рейса 102 уже продано. Второй билет не создан.</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TC-8.2</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Есть черновик продажи. Смена не закрыта.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TC-2.3</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Нет обслуживания станции или открытой смены.</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TC-1.1</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Рейс с этим номером уже открыт.</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TC-1.2</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Рейс уже отменён. Повторная отмена не создана.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TC-1.3</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Рейс отменён. Тем же номером не открывается.</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TC-2.4</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Рейс закрыт. Билет не создан.</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TC-4.1</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Посадка отмечена один раз.</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TC-4.2</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Отметка посадки уже есть.</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TC-5.2</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Билет возвращён, место свободно.</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TC-5.1</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Посадка уже отмечена. Возврат не проведён.</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TC-6.1</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Станция Луговая сохранена. Код LUG уникален.</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TC-6.2</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Код LUG уже есть. Вторая станция не записана.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TC-7.1</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Маршрут сохранён: две станции, без повтора.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TC-7.2</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Станция в маршруте повторяется. Маршрут не сохранён.</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TC-9.1</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Закрыть заявку может только инженер после отметки устранения.</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TC-9.2</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Заявка закрыта.</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TC-9.4</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Инвентаризация за 2026-10-20 проведена. Повтор на эту дату закрыт.</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r>
        <w:tc>
          <w:tcPr>
            <w:tcW w:type="dxa" w:w="1361"/>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TC-9.3</w:t>
            </w:r>
          </w:p>
        </w:tc>
        <w:tc>
          <w:tcPr>
            <w:tcW w:type="dxa" w:w="6350"/>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Инвентаризация Касса 1 за 2026-10-20 уже есть. Повтор закрыт.</w:t>
            </w:r>
          </w:p>
        </w:tc>
        <w:tc>
          <w:tcPr>
            <w:tcW w:type="dxa" w:w="1644"/>
            <w:tcBorders>
              <w:top w:val="single" w:sz="4" w:space="0" w:color="000000"/>
              <w:left w:val="single" w:sz="4" w:space="0" w:color="000000"/>
              <w:bottom w:val="single" w:sz="4" w:space="0" w:color="000000"/>
              <w:right w:val="single" w:sz="4" w:space="0" w:color="000000"/>
            </w:tcBorders>
            <w:vAlign w:val="top"/>
          </w:tcPr>
          <w:p>
            <w:pPr>
              <w:spacing w:line="240" w:lineRule="auto" w:after="0" w:before="0"/>
              <w:ind w:firstLine="0" w:left="0"/>
              <w:jc w:val="left"/>
            </w:pPr>
            <w:r/>
            <w:r>
              <w:rPr>
                <w:rFonts w:ascii="Times New Roman" w:hAnsi="Times New Roman" w:eastAsia="Times New Roman" w:cs="Times New Roman"/>
                <w:b w:val="0"/>
                <w:i w:val="0"/>
                <w:sz w:val="22"/>
              </w:rPr>
              <w:t>пройден</w:t>
            </w:r>
          </w:p>
        </w:tc>
      </w:tr>
    </w:tbl>
    <w:p>
      <w:pPr>
        <w:spacing w:line="240" w:lineRule="auto" w:after="0" w:before="120"/>
        <w:ind w:firstLine="0" w:left="0"/>
        <w:jc w:val="center"/>
      </w:pPr>
      <w:r>
        <w:drawing>
          <wp:inline xmlns:a="http://schemas.openxmlformats.org/drawingml/2006/main" xmlns:pic="http://schemas.openxmlformats.org/drawingml/2006/picture">
            <wp:extent cx="5580000" cy="6403893"/>
            <wp:docPr id="1" name="Picture 1"/>
            <wp:cNvGraphicFramePr>
              <a:graphicFrameLocks noChangeAspect="1"/>
            </wp:cNvGraphicFramePr>
            <a:graphic>
              <a:graphicData uri="http://schemas.openxmlformats.org/drawingml/2006/picture">
                <pic:pic>
                  <pic:nvPicPr>
                    <pic:cNvPr id="0" name="sale-ok.png"/>
                    <pic:cNvPicPr/>
                  </pic:nvPicPr>
                  <pic:blipFill>
                    <a:blip r:embed="rId13"/>
                    <a:stretch>
                      <a:fillRect/>
                    </a:stretch>
                  </pic:blipFill>
                  <pic:spPr>
                    <a:xfrm>
                      <a:off x="0" y="0"/>
                      <a:ext cx="5580000" cy="6403893"/>
                    </a:xfrm>
                    <a:prstGeom prst="rect"/>
                  </pic:spPr>
                </pic:pic>
              </a:graphicData>
            </a:graphic>
          </wp:inline>
        </w:drawing>
      </w:r>
    </w:p>
    <w:p>
      <w:pPr>
        <w:spacing w:lineRule="auto" w:line="360" w:after="160" w:before="80"/>
        <w:ind w:firstLine="0" w:left="0"/>
        <w:jc w:val="center"/>
      </w:pPr>
      <w:r>
        <w:rPr>
          <w:rFonts w:ascii="Times New Roman" w:hAnsi="Times New Roman" w:eastAsia="Times New Roman" w:cs="Times New Roman"/>
          <w:b w:val="0"/>
          <w:i w:val="0"/>
          <w:sz w:val="28"/>
        </w:rPr>
        <w:t>Рисунок 1 — TC-2.1: билет записан и виден в списке</w:t>
      </w:r>
    </w:p>
    <w:p>
      <w:pPr>
        <w:spacing w:line="240" w:lineRule="auto" w:after="0" w:before="120"/>
        <w:ind w:firstLine="0" w:left="0"/>
        <w:jc w:val="center"/>
      </w:pPr>
      <w:r>
        <w:drawing>
          <wp:inline xmlns:a="http://schemas.openxmlformats.org/drawingml/2006/main" xmlns:pic="http://schemas.openxmlformats.org/drawingml/2006/picture">
            <wp:extent cx="5580000" cy="6403893"/>
            <wp:docPr id="2" name="Picture 2"/>
            <wp:cNvGraphicFramePr>
              <a:graphicFrameLocks noChangeAspect="1"/>
            </wp:cNvGraphicFramePr>
            <a:graphic>
              <a:graphicData uri="http://schemas.openxmlformats.org/drawingml/2006/picture">
                <pic:pic>
                  <pic:nvPicPr>
                    <pic:cNvPr id="0" name="sale-double.png"/>
                    <pic:cNvPicPr/>
                  </pic:nvPicPr>
                  <pic:blipFill>
                    <a:blip r:embed="rId14"/>
                    <a:stretch>
                      <a:fillRect/>
                    </a:stretch>
                  </pic:blipFill>
                  <pic:spPr>
                    <a:xfrm>
                      <a:off x="0" y="0"/>
                      <a:ext cx="5580000" cy="6403893"/>
                    </a:xfrm>
                    <a:prstGeom prst="rect"/>
                  </pic:spPr>
                </pic:pic>
              </a:graphicData>
            </a:graphic>
          </wp:inline>
        </w:drawing>
      </w:r>
    </w:p>
    <w:p>
      <w:pPr>
        <w:spacing w:lineRule="auto" w:line="360" w:after="160" w:before="80"/>
        <w:ind w:firstLine="0" w:left="0"/>
        <w:jc w:val="center"/>
      </w:pPr>
      <w:r>
        <w:rPr>
          <w:rFonts w:ascii="Times New Roman" w:hAnsi="Times New Roman" w:eastAsia="Times New Roman" w:cs="Times New Roman"/>
          <w:b w:val="0"/>
          <w:i w:val="0"/>
          <w:sz w:val="28"/>
        </w:rPr>
        <w:t>Рисунок 2 — TC-2.2: второй билет на место 12 не создан</w:t>
      </w:r>
    </w:p>
    <w:p>
      <w:pPr>
        <w:spacing w:line="240" w:lineRule="auto" w:after="0" w:before="120"/>
        <w:ind w:firstLine="0" w:left="0"/>
        <w:jc w:val="center"/>
      </w:pPr>
      <w:r>
        <w:drawing>
          <wp:inline xmlns:a="http://schemas.openxmlformats.org/drawingml/2006/main" xmlns:pic="http://schemas.openxmlformats.org/drawingml/2006/picture">
            <wp:extent cx="5580000" cy="6403893"/>
            <wp:docPr id="3" name="Picture 3"/>
            <wp:cNvGraphicFramePr>
              <a:graphicFrameLocks noChangeAspect="1"/>
            </wp:cNvGraphicFramePr>
            <a:graphic>
              <a:graphicData uri="http://schemas.openxmlformats.org/drawingml/2006/picture">
                <pic:pic>
                  <pic:nvPicPr>
                    <pic:cNvPr id="0" name="station-ok.png"/>
                    <pic:cNvPicPr/>
                  </pic:nvPicPr>
                  <pic:blipFill>
                    <a:blip r:embed="rId15"/>
                    <a:stretch>
                      <a:fillRect/>
                    </a:stretch>
                  </pic:blipFill>
                  <pic:spPr>
                    <a:xfrm>
                      <a:off x="0" y="0"/>
                      <a:ext cx="5580000" cy="6403893"/>
                    </a:xfrm>
                    <a:prstGeom prst="rect"/>
                  </pic:spPr>
                </pic:pic>
              </a:graphicData>
            </a:graphic>
          </wp:inline>
        </w:drawing>
      </w:r>
    </w:p>
    <w:p>
      <w:pPr>
        <w:spacing w:lineRule="auto" w:line="360" w:after="160" w:before="80"/>
        <w:ind w:firstLine="0" w:left="0"/>
        <w:jc w:val="center"/>
      </w:pPr>
      <w:r>
        <w:rPr>
          <w:rFonts w:ascii="Times New Roman" w:hAnsi="Times New Roman" w:eastAsia="Times New Roman" w:cs="Times New Roman"/>
          <w:b w:val="0"/>
          <w:i w:val="0"/>
          <w:sz w:val="28"/>
        </w:rPr>
        <w:t>Рисунок 3 — TC-6.1: станция LUG в списке</w:t>
      </w:r>
    </w:p>
    <w:p>
      <w:pPr>
        <w:spacing w:line="240" w:lineRule="auto" w:after="0" w:before="120"/>
        <w:ind w:firstLine="0" w:left="0"/>
        <w:jc w:val="center"/>
      </w:pPr>
      <w:r>
        <w:drawing>
          <wp:inline xmlns:a="http://schemas.openxmlformats.org/drawingml/2006/main" xmlns:pic="http://schemas.openxmlformats.org/drawingml/2006/picture">
            <wp:extent cx="5580000" cy="6403893"/>
            <wp:docPr id="4" name="Picture 4"/>
            <wp:cNvGraphicFramePr>
              <a:graphicFrameLocks noChangeAspect="1"/>
            </wp:cNvGraphicFramePr>
            <a:graphic>
              <a:graphicData uri="http://schemas.openxmlformats.org/drawingml/2006/picture">
                <pic:pic>
                  <pic:nvPicPr>
                    <pic:cNvPr id="0" name="station-dup.png"/>
                    <pic:cNvPicPr/>
                  </pic:nvPicPr>
                  <pic:blipFill>
                    <a:blip r:embed="rId16"/>
                    <a:stretch>
                      <a:fillRect/>
                    </a:stretch>
                  </pic:blipFill>
                  <pic:spPr>
                    <a:xfrm>
                      <a:off x="0" y="0"/>
                      <a:ext cx="5580000" cy="6403893"/>
                    </a:xfrm>
                    <a:prstGeom prst="rect"/>
                  </pic:spPr>
                </pic:pic>
              </a:graphicData>
            </a:graphic>
          </wp:inline>
        </w:drawing>
      </w:r>
    </w:p>
    <w:p>
      <w:pPr>
        <w:spacing w:lineRule="auto" w:line="360" w:after="160" w:before="80"/>
        <w:ind w:firstLine="0" w:left="0"/>
        <w:jc w:val="center"/>
      </w:pPr>
      <w:r>
        <w:rPr>
          <w:rFonts w:ascii="Times New Roman" w:hAnsi="Times New Roman" w:eastAsia="Times New Roman" w:cs="Times New Roman"/>
          <w:b w:val="0"/>
          <w:i w:val="0"/>
          <w:sz w:val="28"/>
        </w:rPr>
        <w:t>Рисунок 4 — TC-6.2: повтор кода отклонён</w:t>
      </w:r>
    </w:p>
    <w:p>
      <w:r>
        <w:br w:type="page"/>
      </w:r>
    </w:p>
    <w:p>
      <w:pPr>
        <w:keepNext/>
        <w:spacing w:lineRule="auto" w:line="360" w:after="80" w:before="160"/>
        <w:ind w:firstLine="709" w:left="0"/>
        <w:jc w:val="left"/>
      </w:pPr>
      <w:r>
        <w:rPr>
          <w:rFonts w:ascii="Times New Roman" w:hAnsi="Times New Roman" w:eastAsia="Times New Roman" w:cs="Times New Roman"/>
          <w:b/>
          <w:i w:val="0"/>
          <w:sz w:val="28"/>
        </w:rPr>
        <w:t>5 Проверка требований</w:t>
      </w:r>
    </w:p>
    <w:p>
      <w:pPr>
        <w:spacing w:lineRule="auto" w:line="360" w:after="0" w:before="0"/>
        <w:ind w:firstLine="709" w:left="0"/>
        <w:jc w:val="both"/>
      </w:pPr>
      <w:r>
        <w:rPr>
          <w:rFonts w:ascii="Times New Roman" w:hAnsi="Times New Roman" w:eastAsia="Times New Roman" w:cs="Times New Roman"/>
          <w:b w:val="0"/>
          <w:i w:val="0"/>
          <w:sz w:val="28"/>
        </w:rPr>
        <w:t>По главе 17 Вигерса тест требования полезен ещё до спора о вёрстке: он показывает, можно ли по тексту правила получить однозначный ответ. Для продажи такое правило нашлось. Формулировки экрана говорили, что билет проводится, но не фиксировали, что то же место того же рейса второй раз проводить нельзя. Без этой строки тест TC-2.2 нельзя было ни написать, ни прогнать. Правило внесено в слой данных: второй билет не создаётся, в списке остаётся одна запись. Это и есть дефект требования, который закрыт до приёмки сценария.</w:t>
      </w:r>
    </w:p>
    <w:p>
      <w:pPr>
        <w:spacing w:lineRule="auto" w:line="360" w:after="0" w:before="0"/>
        <w:ind w:firstLine="709" w:left="0"/>
        <w:jc w:val="both"/>
      </w:pPr>
      <w:r>
        <w:rPr>
          <w:rFonts w:ascii="Times New Roman" w:hAnsi="Times New Roman" w:eastAsia="Times New Roman" w:cs="Times New Roman"/>
          <w:b w:val="0"/>
          <w:i w:val="0"/>
          <w:sz w:val="28"/>
        </w:rPr>
        <w:t>Остальные ответы в таблице 6 читаются так же. У каждого есть одно ожидаемое предложение в таблицах 4 и 5, и прогон вернул его дословно. Противоречия между матрицами не всплыло: вариант, экран и тест ссылаются на один и тот же отказ. Пассажирского экрана в проверке нет, его нет и в границах системы.</w:t>
      </w:r>
    </w:p>
    <w:p>
      <w:r>
        <w:br w:type="page"/>
      </w:r>
    </w:p>
    <w:p>
      <w:pPr>
        <w:keepNext/>
        <w:spacing w:lineRule="auto" w:line="360" w:after="160" w:before="0"/>
        <w:ind w:firstLine="0" w:left="0"/>
        <w:jc w:val="center"/>
      </w:pPr>
      <w:r>
        <w:rPr>
          <w:rFonts w:ascii="Times New Roman" w:hAnsi="Times New Roman" w:eastAsia="Times New Roman" w:cs="Times New Roman"/>
          <w:b/>
          <w:i w:val="0"/>
          <w:sz w:val="28"/>
        </w:rPr>
        <w:t>ЗАКЛЮЧЕНИЕ</w:t>
      </w:r>
    </w:p>
    <w:p>
      <w:pPr>
        <w:spacing w:lineRule="auto" w:line="360" w:after="0" w:before="0"/>
        <w:ind w:firstLine="709" w:left="0"/>
        <w:jc w:val="both"/>
      </w:pPr>
      <w:r>
        <w:rPr>
          <w:rFonts w:ascii="Times New Roman" w:hAnsi="Times New Roman" w:eastAsia="Times New Roman" w:cs="Times New Roman"/>
          <w:b w:val="0"/>
          <w:i w:val="0"/>
          <w:sz w:val="28"/>
        </w:rPr>
        <w:t>Требования UC-1–UC-9 прослежены до экранов и тестов. Тест-кейсы задают сценарий, пометку V или I и ожидаемый текст. Прогон вернул эти тексты. Билет 102-15 возвращён до посадки, возврат билета 102-12 после посадки отклонён. Маршрут M-13 записан, маршрут M-14 с повторной станцией не записан. Первая инвентаризация кассы 1 на 20.10.2026 проходит, повтор отклоняется. Проверка требований добавила в слой явный запрет второй продажи того же места.</w:t>
      </w:r>
    </w:p>
    <w:sectPr w:rsidR="00864209" w:rsidSect="005A2A15">
      <w:headerReference w:type="default" r:id="rId9"/>
      <w:footerReference w:type="default" r:id="rId10"/>
      <w:pgSz w:w="11906" w:h="16838"/>
      <w:pgMar w:top="1134" w:right="850" w:bottom="1134" w:left="1701" w:header="720" w:footer="720" w:gutter="0"/>
      <w:pgNumType w:start="2"/>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41CE" w:rsidRDefault="006941CE">
      <w:r>
        <w:separator/>
      </w:r>
    </w:p>
  </w:endnote>
  <w:endnote w:type="continuationSeparator" w:id="0">
    <w:p w:rsidR="006941CE" w:rsidRDefault="00694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1FC" w:rsidRDefault="00D231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1FC" w:rsidRDefault="00000000">
    <w:pPr>
      <w:jc w:val="center"/>
    </w:pPr>
    <w:r>
      <w:rPr>
        <w:color w:val="000000"/>
        <w:sz w:val="28"/>
      </w:rPr>
      <w:fldChar w:fldCharType="begin"/>
    </w:r>
    <w:r>
      <w:rPr>
        <w:color w:val="000000"/>
        <w:sz w:val="28"/>
      </w:rPr>
      <w:instrText xml:space="preserve"> PAGE </w:instrText>
    </w:r>
    <w:r>
      <w:rPr>
        <w:color w:val="000000"/>
        <w:sz w:val="28"/>
      </w:rPr>
      <w:fldChar w:fldCharType="separate"/>
    </w:r>
    <w:r w:rsidR="00882A19">
      <w:rPr>
        <w:noProof/>
        <w:color w:val="000000"/>
        <w:sz w:val="28"/>
      </w:rPr>
      <w:t>2</w:t>
    </w:r>
    <w:r>
      <w:rPr>
        <w:color w:val="000000"/>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41CE" w:rsidRDefault="006941CE">
      <w:r>
        <w:separator/>
      </w:r>
    </w:p>
  </w:footnote>
  <w:footnote w:type="continuationSeparator" w:id="0">
    <w:p w:rsidR="006941CE" w:rsidRDefault="00694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1FC" w:rsidRDefault="00D231F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oNotDisplayPageBoundarie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AB"/>
    <w:rsid w:val="000A2CF1"/>
    <w:rsid w:val="000A67BE"/>
    <w:rsid w:val="00284869"/>
    <w:rsid w:val="002964BE"/>
    <w:rsid w:val="00345D61"/>
    <w:rsid w:val="003F448A"/>
    <w:rsid w:val="00405D24"/>
    <w:rsid w:val="00413AAB"/>
    <w:rsid w:val="005A2A15"/>
    <w:rsid w:val="005B566D"/>
    <w:rsid w:val="005E3C66"/>
    <w:rsid w:val="006375AF"/>
    <w:rsid w:val="006941CE"/>
    <w:rsid w:val="007C55D8"/>
    <w:rsid w:val="00864209"/>
    <w:rsid w:val="00882A19"/>
    <w:rsid w:val="008D1AAC"/>
    <w:rsid w:val="009B751E"/>
    <w:rsid w:val="00A74901"/>
    <w:rsid w:val="00AF6555"/>
    <w:rsid w:val="00B20256"/>
    <w:rsid w:val="00B71FEE"/>
    <w:rsid w:val="00BA50FA"/>
    <w:rsid w:val="00D231FC"/>
    <w:rsid w:val="00D347D3"/>
    <w:rsid w:val="00D45F03"/>
    <w:rsid w:val="00DA7C82"/>
    <w:rsid w:val="00DB09C0"/>
    <w:rsid w:val="00DF7735"/>
    <w:rsid w:val="00F04F95"/>
    <w:rsid w:val="00F57E13"/>
    <w:rsid w:val="00F65A25"/>
    <w:rsid w:val="00F87EBD"/>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8758A3"/>
  <w15:docId w15:val="{EFF8298B-C3A3-4B81-9791-EDF132EB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A15"/>
    <w:pPr>
      <w:spacing w:after="0" w:line="240" w:lineRule="auto"/>
    </w:pPr>
    <w:rPr>
      <w:sz w:val="24"/>
      <w:szCs w:val="24"/>
    </w:rPr>
  </w:style>
  <w:style w:type="paragraph" w:styleId="1">
    <w:name w:val="heading 1"/>
    <w:basedOn w:val="a"/>
    <w:next w:val="a"/>
    <w:link w:val="10"/>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1940</Words>
  <Characters>11059</Characters>
  <Application>Microsoft Office Word</Application>
  <DocSecurity>0</DocSecurity>
  <Lines>92</Lines>
  <Paragraphs>25</Paragraphs>
  <ScaleCrop>false</ScaleCrop>
  <Company>MCIT</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MARIA</dc:creator>
  <cp:lastModifiedBy>Григорий Буренков</cp:lastModifiedBy>
  <cp:revision>4</cp:revision>
  <cp:lastPrinted>2026-10-06T19:09:00Z</cp:lastPrinted>
  <dcterms:created xsi:type="dcterms:W3CDTF">2026-10-06T19:09:00Z</dcterms:created>
  <dcterms:modified xsi:type="dcterms:W3CDTF">2026-10-08T12:46:00Z</dcterms:modified>
</cp:coreProperties>
</file>