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5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МЕТОД ОПОРНЫХ ВЕКТОРОВ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7D711C">
              <w:rPr>
                <w:color w:val="000000"/>
                <w:sz w:val="28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9D616D" w:rsidRDefault="009D616D">
      <w:pPr>
        <w:sectPr w:rsidR="009D616D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 w:rsidR="00885B11" w:rsidRDefault="00000000">
      <w:pPr>
        <w:keepNext/>
        <w:spacing w:after="240" w:line="360" w:lineRule="auto"/>
        <w:jc w:val="center"/>
      </w:pPr>
      <w:r>
        <w:rPr>
          <w:b/>
          <w:color w:val="000000"/>
          <w:sz w:val="28"/>
        </w:rPr>
        <w:lastRenderedPageBreak/>
        <w:t>СОДЕРЖАНИЕ</w:t>
      </w:r>
    </w:p>
    <w:p w:rsidR="00885B11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1 Задание</w:t>
      </w:r>
      <w:r>
        <w:rPr>
          <w:color w:val="000000"/>
          <w:sz w:val="28"/>
        </w:rPr>
        <w:tab/>
        <w:t>3</w:t>
      </w:r>
    </w:p>
    <w:p w:rsidR="00885B11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2 Входные данные</w:t>
      </w:r>
      <w:r>
        <w:rPr>
          <w:color w:val="000000"/>
          <w:sz w:val="28"/>
        </w:rPr>
        <w:tab/>
        <w:t>4</w:t>
      </w:r>
    </w:p>
    <w:p w:rsidR="00885B11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3 Ход выполнения работы</w:t>
      </w:r>
      <w:r>
        <w:rPr>
          <w:color w:val="000000"/>
          <w:sz w:val="28"/>
        </w:rPr>
        <w:tab/>
        <w:t>5</w:t>
      </w:r>
    </w:p>
    <w:p w:rsidR="00885B11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4 Выводы</w:t>
      </w:r>
      <w:r>
        <w:rPr>
          <w:color w:val="000000"/>
          <w:sz w:val="28"/>
        </w:rPr>
        <w:tab/>
        <w:t>9</w:t>
      </w:r>
    </w:p>
    <w:p w:rsidR="00885B11" w:rsidRDefault="00000000">
      <w:r>
        <w:br w:type="page"/>
      </w:r>
    </w:p>
    <w:p w:rsidR="00885B11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1 Задание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Цель работы — отнести измерение мяча к одному из трёх классов методом опорных векторов и сравнить точность с методами лабораторных 2, 3 и 4 на тех же строках одного общего теста.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 практикуму читается своя таблица. Модель обучается на обучающей части; для теста считаются класс и вероятности классов. Ядро — радиальная базисная функция, штраф за неверную точку равен 1, параметр сигма равен 0,5. Перед обучением признаки приводятся к одному масштабу по обучающей выборке. Затем считаются матрица ошибок, accuracy, precision, recall и F-measure. В выводе — краткое сравнение четырёх методов на одном тесте и ключевые параметры, из‑за которых отличаются показатели.</w:t>
      </w:r>
    </w:p>
    <w:p w:rsidR="00FE5F9A" w:rsidRP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>Класс 1 — вид мяча: футбольный</w:t>
      </w:r>
    </w:p>
    <w:p w:rsidR="00FE5F9A" w:rsidRP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>Применяется для активной командной игры исключительно ногами и головой на открытых травяных или грунтовых стадионах, позволяя игрокам безопасно наносить мощные удары на любые дистанции, тренировать точность передач в движении и развивать общую координацию бега.</w:t>
      </w:r>
    </w:p>
    <w:p w:rsidR="00FE5F9A" w:rsidRP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 xml:space="preserve">Класс 2 — вид мяча: волейбольный. </w:t>
      </w:r>
    </w:p>
    <w:p w:rsidR="00FE5F9A" w:rsidRP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>Используется для непрерывного перекидывания руками через высокую сетку на песчаных пляжах или внутри крытых спортивных залов, обеспечивая участникам максимально комфортный, мягкий и совершенно безболезненный прием высоко взлетающего снаряда без риска травмировать кисти.</w:t>
      </w:r>
    </w:p>
    <w:p w:rsidR="00FE5F9A" w:rsidRP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 xml:space="preserve">Класс 3 — вид мяча: баскетбольный. </w:t>
      </w:r>
    </w:p>
    <w:p w:rsid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>Применяется для динамичного ведения руками, тактических распасовок и прицельных бросков в подвесную корзину на асфальтовых площадках или деревянном паркете, давая игроку ощущение полного контроля при скоростном дриблинге и гарантируя стабильный высокий отскок</w:t>
      </w:r>
      <w:r w:rsidR="00000000">
        <w:rPr>
          <w:color w:val="000000"/>
          <w:sz w:val="28"/>
        </w:rPr>
        <w:t xml:space="preserve">. </w:t>
      </w:r>
    </w:p>
    <w:p w:rsidR="00885B11" w:rsidRDefault="00000000" w:rsidP="00FE5F9A">
      <w:pPr>
        <w:spacing w:line="360" w:lineRule="auto"/>
        <w:ind w:firstLine="709"/>
        <w:jc w:val="both"/>
      </w:pPr>
      <w:r>
        <w:rPr>
          <w:color w:val="000000"/>
          <w:sz w:val="28"/>
        </w:rPr>
        <w:t>Признаки — коэффициент упругости, окружность в сантиметрах, масса в граммах, давление в барах и высота контрольного отскока в сантиметрах. Номер наблюдения в модель не входит.</w:t>
      </w:r>
    </w:p>
    <w:p w:rsidR="00885B11" w:rsidRDefault="00000000">
      <w:r>
        <w:br w:type="page"/>
      </w:r>
    </w:p>
    <w:p w:rsidR="00885B11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2 Входные данные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Таблица, классы и разбиение те же, что в лабораторных 2, 3 и 4. 150 измерений мяча, по 50 футбольных, баскетбольных и волейбольных. Обучение — 105 строк (по 35 в классе), тест — 45 (по 15). Это один общий тест. Пять признаков: коэффициент упругости, окружность в сантиметрах, масса в граммах, давление в барах и высота контрольного отскока в сантиметрах. Типовой набор — центр класса; точных копий типового набора в таблице нет, строки — измерения с разбросом.</w:t>
      </w:r>
    </w:p>
    <w:p w:rsidR="00885B11" w:rsidRDefault="00000000">
      <w:pPr>
        <w:keepNext/>
        <w:spacing w:before="240" w:after="120"/>
      </w:pPr>
      <w:r>
        <w:rPr>
          <w:color w:val="000000"/>
          <w:sz w:val="28"/>
        </w:rPr>
        <w:t>Таблица 1 — Типовые измерения трёх мячей</w:t>
      </w:r>
    </w:p>
    <w:tbl>
      <w:tblPr>
        <w:tblW w:w="92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9"/>
        <w:gridCol w:w="1474"/>
        <w:gridCol w:w="1587"/>
        <w:gridCol w:w="1361"/>
        <w:gridCol w:w="1474"/>
        <w:gridCol w:w="1474"/>
      </w:tblGrid>
      <w:tr w:rsidR="00885B11">
        <w:trPr>
          <w:tblHeader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Упругость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Окружность, см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Масса, г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Давление, бар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Отскок, см</w:t>
            </w:r>
          </w:p>
        </w:tc>
      </w:tr>
      <w:tr w:rsidR="00885B11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420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</w:tr>
      <w:tr w:rsidR="00885B11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480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</w:tr>
      <w:tr w:rsidR="00885B11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</w:tr>
    </w:tbl>
    <w:p w:rsidR="00885B11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Диапазоны соседних классов пересекаются: упругость футбольного 0,70–0,80, баскетбольного 0,71–0,87; окружность волейбольного 67,1–70,6 см, футбольного 68,2–72,9 см. Поэтому стопроцентной точности на тесте ни у одного из четырёх методов нет.</w:t>
      </w:r>
    </w:p>
    <w:p w:rsidR="00885B11" w:rsidRDefault="00000000">
      <w:r>
        <w:br w:type="page"/>
      </w:r>
    </w:p>
    <w:p w:rsidR="00885B11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3 Ход выполнения работы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Последовательность расчёта показана на рисунке 1. Штраф равен 1, ядро — радиальная базисная функция, сигма равна 0,5. Признаки стандартизированы по обучению: у каждого признака нулевое среднее и единичный разброс на обучающих строках; те же среднее и разброс применены к тесту.</w:t>
      </w:r>
    </w:p>
    <w:p w:rsidR="00885B11" w:rsidRDefault="00000000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5580000" cy="4324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B11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1 — Схема расчёта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Опорных векторов 80: футбольный — 25, баскетбольный — 26, волейбольный — 29. При 105 обучающих строках почти все они оказались опорными: граница классов в зоне пересечения диапазонов держится на многих пограничных измерениях, а не только на типовом центре.</w:t>
      </w:r>
    </w:p>
    <w:p w:rsidR="00885B11" w:rsidRDefault="00000000">
      <w:pPr>
        <w:keepNext/>
        <w:spacing w:before="240" w:after="120"/>
      </w:pPr>
      <w:r>
        <w:rPr>
          <w:color w:val="000000"/>
          <w:sz w:val="28"/>
        </w:rPr>
        <w:t>Таблица 2 — Число опорных векторов</w:t>
      </w:r>
    </w:p>
    <w:tbl>
      <w:tblPr>
        <w:tblW w:w="59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2551"/>
      </w:tblGrid>
      <w:tr w:rsidR="00885B11">
        <w:trPr>
          <w:tblHeader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Опорных векторов</w:t>
            </w:r>
          </w:p>
        </w:tc>
      </w:tr>
      <w:tr w:rsidR="00885B11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25</w:t>
            </w:r>
          </w:p>
        </w:tc>
      </w:tr>
      <w:tr w:rsidR="00885B11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26</w:t>
            </w:r>
          </w:p>
        </w:tc>
      </w:tr>
      <w:tr w:rsidR="00885B11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lastRenderedPageBreak/>
              <w:t>волейбольный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29</w:t>
            </w:r>
          </w:p>
        </w:tc>
      </w:tr>
    </w:tbl>
    <w:p w:rsidR="00885B11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Для строки 3: упругость 0,68, окружность 68,8 см, масса 380 г, давление 0,41 бар, отскок 117 см. Факт — «волейбольный», прогноз — «волейбольный». Вероятности: футбольный 3,24 %, баскетбольный 0,71 %, волейбольный 96,05 %.</w:t>
      </w:r>
    </w:p>
    <w:p w:rsidR="00885B11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Ошибки на тесте: № 8: факт «баскетбольный», прогноз «футбольный»; № 105: факт «волейбольный», прогноз «футбольный».</w:t>
      </w:r>
    </w:p>
    <w:p w:rsidR="00885B11" w:rsidRDefault="00000000">
      <w:pPr>
        <w:keepNext/>
        <w:spacing w:before="240" w:after="120"/>
      </w:pPr>
      <w:r>
        <w:rPr>
          <w:color w:val="000000"/>
          <w:sz w:val="28"/>
        </w:rPr>
        <w:t>Таблица 3 — Матрица ошибок на 45 тестовых строках</w:t>
      </w:r>
    </w:p>
    <w:tbl>
      <w:tblPr>
        <w:tblW w:w="75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1587"/>
        <w:gridCol w:w="1928"/>
        <w:gridCol w:w="1814"/>
      </w:tblGrid>
      <w:tr w:rsidR="00885B11">
        <w:trPr>
          <w:tblHeader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Факт \ прогноз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футбольный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баскетбольный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волейбольный</w:t>
            </w:r>
          </w:p>
        </w:tc>
      </w:tr>
      <w:tr w:rsidR="00885B11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футбольный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15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</w:tr>
      <w:tr w:rsidR="00885B11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баскетбольный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14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</w:tr>
      <w:tr w:rsidR="00885B11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волейбольный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14</w:t>
            </w:r>
          </w:p>
        </w:tc>
      </w:tr>
    </w:tbl>
    <w:p w:rsidR="00885B11" w:rsidRPr="00FE5F9A" w:rsidRDefault="00000000">
      <w:pPr>
        <w:keepNext/>
        <w:spacing w:before="240" w:after="120"/>
        <w:rPr>
          <w:lang w:val="en-US"/>
        </w:rPr>
      </w:pPr>
      <w:r>
        <w:rPr>
          <w:color w:val="000000"/>
          <w:sz w:val="28"/>
        </w:rPr>
        <w:t>Таблица</w:t>
      </w:r>
      <w:r w:rsidRPr="00FE5F9A">
        <w:rPr>
          <w:color w:val="000000"/>
          <w:sz w:val="28"/>
          <w:lang w:val="en-US"/>
        </w:rPr>
        <w:t xml:space="preserve"> 4 — Precision, recall </w:t>
      </w:r>
      <w:r>
        <w:rPr>
          <w:color w:val="000000"/>
          <w:sz w:val="28"/>
        </w:rPr>
        <w:t>и</w:t>
      </w:r>
      <w:r w:rsidRPr="00FE5F9A">
        <w:rPr>
          <w:color w:val="000000"/>
          <w:sz w:val="28"/>
          <w:lang w:val="en-US"/>
        </w:rPr>
        <w:t xml:space="preserve"> F-measure </w:t>
      </w:r>
      <w:r>
        <w:rPr>
          <w:color w:val="000000"/>
          <w:sz w:val="28"/>
        </w:rPr>
        <w:t>по</w:t>
      </w:r>
      <w:r w:rsidRPr="00FE5F9A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классам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2"/>
        <w:gridCol w:w="1815"/>
        <w:gridCol w:w="1587"/>
        <w:gridCol w:w="1928"/>
        <w:gridCol w:w="1984"/>
      </w:tblGrid>
      <w:tr w:rsidR="00885B11">
        <w:trPr>
          <w:tblHeader/>
        </w:trPr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Precision, %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Recall, %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F-measure, %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Наблюдений</w:t>
            </w:r>
          </w:p>
        </w:tc>
      </w:tr>
      <w:tr w:rsidR="00885B11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88,24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93,75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</w:tr>
      <w:tr w:rsidR="00885B11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93,33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96,55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</w:tr>
      <w:tr w:rsidR="00885B11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93,33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96,55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</w:tr>
    </w:tbl>
    <w:p w:rsidR="00885B11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Верных ответов 43 из 45. Accuracy равна 95,56 %, средние precision, recall и F-measure — 96,08 %, 95,56 % и 95,62 %.</w:t>
      </w:r>
    </w:p>
    <w:p w:rsidR="00885B11" w:rsidRDefault="00000000">
      <w:pPr>
        <w:keepNext/>
        <w:spacing w:before="120"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040000" cy="38389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t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3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B11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2 — Классы мяча в осях окружности и коэффициента упругости</w:t>
      </w:r>
    </w:p>
    <w:p w:rsidR="00885B11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Сравнение сделано на одном и том же тесте из 45 строк. Лабораторная 2 — k ближайших соседей при k = 5. Лабораторная 3 — дерево решений глубиной 3. Лабораторная 4 — наивный Байес. Лабораторная 5 — опорные векторы. Числа собраны в таблице 5: верные ответы, accuracy, precision, recall и F-measure.</w:t>
      </w:r>
    </w:p>
    <w:p w:rsidR="00885B11" w:rsidRDefault="00000000">
      <w:pPr>
        <w:keepNext/>
        <w:spacing w:before="240" w:after="120"/>
      </w:pPr>
      <w:r>
        <w:rPr>
          <w:color w:val="000000"/>
          <w:sz w:val="28"/>
        </w:rPr>
        <w:t>Таблица 5 — Сравнение четырёх методов на одном тесте</w:t>
      </w:r>
    </w:p>
    <w:tbl>
      <w:tblPr>
        <w:tblW w:w="96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1"/>
        <w:gridCol w:w="2041"/>
        <w:gridCol w:w="1247"/>
        <w:gridCol w:w="1361"/>
        <w:gridCol w:w="1361"/>
        <w:gridCol w:w="1247"/>
        <w:gridCol w:w="1361"/>
      </w:tblGrid>
      <w:tr w:rsidR="00885B11">
        <w:trPr>
          <w:tblHeader/>
        </w:trPr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Работа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Метод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Верных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Accuracy, %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Precision, %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Recall, %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F-measure, %</w:t>
            </w:r>
          </w:p>
        </w:tc>
      </w:tr>
      <w:tr w:rsidR="00885B11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k ближайших соседей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42 из 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93,33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94,44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93,33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93,44</w:t>
            </w:r>
          </w:p>
        </w:tc>
      </w:tr>
      <w:tr w:rsidR="00885B11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дерево решений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40 из 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88,89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89,83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88,89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88,84</w:t>
            </w:r>
          </w:p>
        </w:tc>
      </w:tr>
      <w:tr w:rsidR="00885B11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4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наивный Байес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42 из 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93,33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94,44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93,33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93,44</w:t>
            </w:r>
          </w:p>
        </w:tc>
      </w:tr>
      <w:tr w:rsidR="00885B11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опорные векторы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43 из 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95,56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96,08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95,56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95,62</w:t>
            </w:r>
          </w:p>
        </w:tc>
      </w:tr>
    </w:tbl>
    <w:p w:rsidR="00885B11" w:rsidRDefault="00000000">
      <w:r>
        <w:br w:type="page"/>
      </w:r>
    </w:p>
    <w:p w:rsidR="00885B11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4 Выводы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 одном тесте из 45 строк лучший результат у метода «опорные векторы»: 43/45, accuracy 95,56 %, F-measure 95,62 %; далее k ближайших соседей — 42/45 (93,33 %); наивный Байес — 42/45 (93,33 %); дерево решений — 40/45 (88,89 %). Ключевые параметры: у соседей k = 5 и стандартизация признаков; у дерева глубина 3, критерий Джини; у Байеса нормали по классу и допущение независимости признаков; у опорных векторов ядро RBF (сигма 0,5, штраф 1) и та же стандартизация. Стопроцентной точности нет, потому что диапазоны измерений соседних мячей пересекаются.</w:t>
      </w:r>
    </w:p>
    <w:sectPr w:rsidR="00885B11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9195C" w:rsidRDefault="0059195C">
      <w:r>
        <w:separator/>
      </w:r>
    </w:p>
  </w:endnote>
  <w:endnote w:type="continuationSeparator" w:id="0">
    <w:p w:rsidR="0059195C" w:rsidRDefault="005919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D616D" w:rsidRDefault="004B67DB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7D711C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9195C" w:rsidRDefault="0059195C">
      <w:r>
        <w:separator/>
      </w:r>
    </w:p>
  </w:footnote>
  <w:footnote w:type="continuationSeparator" w:id="0">
    <w:p w:rsidR="0059195C" w:rsidRDefault="005919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D616D" w:rsidRDefault="009D616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doNotDisplayPageBoundaries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F448A"/>
    <w:rsid w:val="00405D24"/>
    <w:rsid w:val="00413AAB"/>
    <w:rsid w:val="004B67DB"/>
    <w:rsid w:val="0059195C"/>
    <w:rsid w:val="005A2A15"/>
    <w:rsid w:val="005B566D"/>
    <w:rsid w:val="005E3C66"/>
    <w:rsid w:val="006375AF"/>
    <w:rsid w:val="007C55D8"/>
    <w:rsid w:val="007D711C"/>
    <w:rsid w:val="00882A19"/>
    <w:rsid w:val="00885B11"/>
    <w:rsid w:val="008D1AAC"/>
    <w:rsid w:val="009B751E"/>
    <w:rsid w:val="009D616D"/>
    <w:rsid w:val="00A74901"/>
    <w:rsid w:val="00A76502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E95C69"/>
    <w:rsid w:val="00F04F95"/>
    <w:rsid w:val="00F57E13"/>
    <w:rsid w:val="00F65A25"/>
    <w:rsid w:val="00F87EBD"/>
    <w:rsid w:val="00FE5F9A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95C66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888</Words>
  <Characters>5066</Characters>
  <Application>Microsoft Office Word</Application>
  <DocSecurity>0</DocSecurity>
  <Lines>42</Lines>
  <Paragraphs>11</Paragraphs>
  <ScaleCrop>false</ScaleCrop>
  <Company>MCIT</Company>
  <LinksUpToDate>false</LinksUpToDate>
  <CharactersWithSpaces>5943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5</cp:revision>
  <cp:lastPrinted>2010-01-18T13:20:00Z</cp:lastPrinted>
  <dcterms:created xsi:type="dcterms:W3CDTF">2026-09-02T20:56:00Z</dcterms:created>
  <dcterms:modified xsi:type="dcterms:W3CDTF">2026-10-17T11:10:00Z</dcterms:modified>
</cp:coreProperties>
</file>