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50" w:line="240" w:lineRule="auto"/>
      </w:pPr>
      <w:r>
        <w:rPr>
          <w:rFonts w:ascii="Malgun Gothic" w:hAnsi="Malgun Gothic" w:eastAsia="Malgun Gothic" w:cs="Malgun Gothic"/>
          <w:b/>
          <w:sz w:val="26"/>
          <w:szCs w:val="26"/>
        </w:rPr>
        <w:t xml:space="preserve">[가락한상] 별도 약정서</w:t>
      </w:r>
    </w:p>
    <w:p>
      <w:pPr>
        <w:jc w:val="center"/>
        <w:spacing w:before="0" w:after="50" w:line="240" w:lineRule="auto"/>
      </w:pPr>
      <w:r>
        <w:rPr>
          <w:rFonts w:ascii="Malgun Gothic" w:hAnsi="Malgun Gothic" w:eastAsia="Malgun Gothic" w:cs="Malgun Gothic"/>
          <w:b/>
          <w:sz w:val="26"/>
          <w:szCs w:val="26"/>
        </w:rPr>
        <w:t xml:space="preserve">(중개수수료·정산·배송·DX 대행)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본 약정서는 파트너스사회적협동조합(이하 "갑")과 ________(이하 "을", 총판) 간에 체결한 [가락한상] 플랫폼 입점(총판) 계약서 제6조·제7조·제8조에 따라 세부 사항을 정한다. 본 약정서는 위 계약서의 일부를 구성한다.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1. 중개수수료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구분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수수료율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계약 체결일 ~ 6개월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7개월 이후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판매금액의 ____% (5%~10% 범위 내)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대상 상품군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앵커 점포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 해당(메인 노출 ____개월) □ 비해당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2. 정산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항목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정산 주기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매주 화요일(전주 월요일~일요일 확정 매출)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정산 계좌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정산 내역서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갑이 공제 항목·금액·산출 근거·사유를 기재하여 제공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3. 배송 및 합배송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항목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배송 방식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 합배송(TC 반입 시각 ____시, 배송 분담 건당 ______원) □ 개별 배송(건당 ______원)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콜드체인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배송 완료 시까지 5℃ 이하 유지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반입 지연 시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갑이 별도 배송을 수배하고 그 비용은 을이 부담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4. DX 대행 서비스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□ 신청함 — 대행 범위(해당 항목에 ○): 시세 입력 / 리뷰 관리 / 고객 응대 / 정산 확인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□ 신청 안 함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5. 기타</w:t>
      </w:r>
      <w:r>
        <w:rPr>
          <w:rFonts w:ascii="Malgun Gothic" w:hAnsi="Malgun Gothic" w:eastAsia="Malgun Gothic" w:cs="Malgun Gothic"/>
          <w:sz w:val="19"/>
          <w:szCs w:val="19"/>
        </w:rPr>
        <w:t xml:space="preserve"> 본 약정서에 정하지 아니한 사항은 본 계약에 따른다. 약정 내용 변경 시 제11조에 따라 30일 전 통지하고 협의한다.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약정일: 20XX년 XX월 XX일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갑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을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상호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파트너스사회적협동조합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대표자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강준철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서명(날인)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20" w:line="240" w:lineRule="auto"/>
      </w:pPr>
    </w:p>
    <w:sectPr>
      <w:pgSz w:w="11906" w:h="16838"/>
      <w:pgMar w:top="1134" w:right="1021" w:bottom="1134" w:left="1021" w:header="708" w:footer="708" w:gutter="0"/>
    </w:sectPr>
  </w:body>
</w:document>
</file>