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50" w:line="240" w:lineRule="auto"/>
      </w:pPr>
      <w:r>
        <w:rPr>
          <w:rFonts w:ascii="Malgun Gothic" w:hAnsi="Malgun Gothic" w:eastAsia="Malgun Gothic" w:cs="Malgun Gothic"/>
          <w:b/>
          <w:sz w:val="26"/>
          <w:szCs w:val="26"/>
        </w:rPr>
        <w:t xml:space="preserve">[가락한상] 플랫폼 입점(총판) 계약서</w:t>
      </w:r>
    </w:p>
    <w:p>
      <w:pPr>
        <w:spacing w:before="0" w:after="20" w:line="240" w:lineRule="auto"/>
      </w:pPr>
      <w:r>
        <w:rPr>
          <w:rFonts w:ascii="Malgun Gothic" w:hAnsi="Malgun Gothic" w:eastAsia="Malgun Gothic" w:cs="Malgun Gothic"/>
          <w:sz w:val="19"/>
          <w:szCs w:val="19"/>
        </w:rPr>
        <w:t xml:space="preserve">파트너스사회적협동조합(이하 "갑")과 ____(이하 "을")은 갑이 운영하는 O2O 수산물·농축산물 통합 플랫폼 "가락한상"(이하 "플랫폼")에 을이 총판으로 입점하여 상품을 판매하고, 갑이 판매 중개·정산·배송·디지털 운영 대행(이하 "DX 대행") 서비스를 제공함에 있어 필요한 사항을 신의성실의 원칙에 따라 다음과 같이 계약을 체결한다.</w:t>
      </w:r>
    </w:p>
    <w:p>
      <w:pPr>
        <w:spacing w:before="0" w:after="20" w:line="240" w:lineRule="auto"/>
      </w:pPr>
      <w:r>
        <w:rPr>
          <w:rFonts w:ascii="Malgun Gothic" w:hAnsi="Malgun Gothic" w:eastAsia="Malgun Gothic" w:cs="Malgun Gothic"/>
          <w:b/>
          <w:sz w:val="19"/>
          <w:szCs w:val="19"/>
        </w:rPr>
        <w:t xml:space="preserve">제1조 (목적)</w:t>
      </w:r>
      <w:r>
        <w:rPr>
          <w:rFonts w:ascii="Malgun Gothic" w:hAnsi="Malgun Gothic" w:eastAsia="Malgun Gothic" w:cs="Malgun Gothic"/>
          <w:sz w:val="19"/>
          <w:szCs w:val="19"/>
        </w:rPr>
        <w:t xml:space="preserve"> 본 계약은 플랫폼 입점 거래에 관한 기본 사항과 공정한 거래 질서를 정함을 목적으로 한다.</w:t>
      </w:r>
    </w:p>
    <w:p>
      <w:pPr>
        <w:spacing w:before="0" w:after="20" w:line="240" w:lineRule="auto"/>
      </w:pPr>
      <w:r>
        <w:rPr>
          <w:rFonts w:ascii="Malgun Gothic" w:hAnsi="Malgun Gothic" w:eastAsia="Malgun Gothic" w:cs="Malgun Gothic"/>
          <w:b/>
          <w:sz w:val="19"/>
          <w:szCs w:val="19"/>
        </w:rPr>
        <w:t xml:space="preserve">제2조 (정의)</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"상품"이란 을이 플랫폼에서 판매하는 수산물·축산물·청과물 및 관련 가공품을 말한다.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"중개수수료"란 플랫폼을 통한 판매 실적에 대하여 을이 갑에게 지급하는 대가를 말한다.</w:t>
      </w:r>
    </w:p>
    <w:p>
      <w:pPr>
        <w:ind w:left="420" w:hanging="240"/>
        <w:spacing w:before="0" w:after="15" w:line="240" w:lineRule="auto"/>
      </w:pPr>
      <w:r>
        <w:rPr>
          <w:rFonts w:ascii="Malgun Gothic" w:hAnsi="Malgun Gothic" w:eastAsia="Malgun Gothic" w:cs="Malgun Gothic"/>
          <w:sz w:val="19"/>
          <w:szCs w:val="19"/>
        </w:rPr>
        <w:t xml:space="preserve">3. </w:t>
      </w:r>
      <w:r>
        <w:rPr>
          <w:rFonts w:ascii="Malgun Gothic" w:hAnsi="Malgun Gothic" w:eastAsia="Malgun Gothic" w:cs="Malgun Gothic"/>
          <w:sz w:val="19"/>
          <w:szCs w:val="19"/>
        </w:rPr>
        <w:t xml:space="preserve">"합배송"이란 갑이 지정한 공동 패키징 센터(이하 "TC")에서 을의 상품과 타 입점업체의 상품을 하나의 박스로 묶어 포장·배송하는 방식을 말한다.</w:t>
      </w:r>
    </w:p>
    <w:p>
      <w:pPr>
        <w:ind w:left="420" w:hanging="240"/>
        <w:spacing w:before="0" w:after="15" w:line="240" w:lineRule="auto"/>
      </w:pPr>
      <w:r>
        <w:rPr>
          <w:rFonts w:ascii="Malgun Gothic" w:hAnsi="Malgun Gothic" w:eastAsia="Malgun Gothic" w:cs="Malgun Gothic"/>
          <w:sz w:val="19"/>
          <w:szCs w:val="19"/>
        </w:rPr>
        <w:t xml:space="preserve">4. </w:t>
      </w:r>
      <w:r>
        <w:rPr>
          <w:rFonts w:ascii="Malgun Gothic" w:hAnsi="Malgun Gothic" w:eastAsia="Malgun Gothic" w:cs="Malgun Gothic"/>
          <w:sz w:val="19"/>
          <w:szCs w:val="19"/>
        </w:rPr>
        <w:t xml:space="preserve">"DX 대행"이란 갑이 을을 대리하여 당일 시세 입력, 리뷰 관리, 고객 응대, 정산 확인 등을 수행하는 서비스를 말한다.</w:t>
      </w:r>
    </w:p>
    <w:p>
      <w:pPr>
        <w:ind w:left="420" w:hanging="240"/>
        <w:spacing w:before="0" w:after="15" w:line="240" w:lineRule="auto"/>
      </w:pPr>
      <w:r>
        <w:rPr>
          <w:rFonts w:ascii="Malgun Gothic" w:hAnsi="Malgun Gothic" w:eastAsia="Malgun Gothic" w:cs="Malgun Gothic"/>
          <w:sz w:val="19"/>
          <w:szCs w:val="19"/>
        </w:rPr>
        <w:t xml:space="preserve">5. </w:t>
      </w:r>
      <w:r>
        <w:rPr>
          <w:rFonts w:ascii="Malgun Gothic" w:hAnsi="Malgun Gothic" w:eastAsia="Malgun Gothic" w:cs="Malgun Gothic"/>
          <w:sz w:val="19"/>
          <w:szCs w:val="19"/>
        </w:rPr>
        <w:t xml:space="preserve">"살수율"이란 갑각류의 껍질 중량 대비 살(가식부)의 비율을 말한다.</w:t>
      </w:r>
    </w:p>
    <w:p>
      <w:pPr>
        <w:ind w:left="420" w:hanging="240"/>
        <w:spacing w:before="0" w:after="15" w:line="240" w:lineRule="auto"/>
      </w:pPr>
      <w:r>
        <w:rPr>
          <w:rFonts w:ascii="Malgun Gothic" w:hAnsi="Malgun Gothic" w:eastAsia="Malgun Gothic" w:cs="Malgun Gothic"/>
          <w:sz w:val="19"/>
          <w:szCs w:val="19"/>
        </w:rPr>
        <w:t xml:space="preserve">6. </w:t>
      </w:r>
      <w:r>
        <w:rPr>
          <w:rFonts w:ascii="Malgun Gothic" w:hAnsi="Malgun Gothic" w:eastAsia="Malgun Gothic" w:cs="Malgun Gothic"/>
          <w:sz w:val="19"/>
          <w:szCs w:val="19"/>
        </w:rPr>
        <w:t xml:space="preserve">"캠 캡처 인증제"란 을이 계량한 저울 사진을 플랫폼에 등록하여 소비자에게 중량을 고지하는 제도를 말한다.</w:t>
      </w:r>
    </w:p>
    <w:p>
      <w:pPr>
        <w:spacing w:before="0" w:after="20" w:line="240" w:lineRule="auto"/>
      </w:pPr>
      <w:r>
        <w:rPr>
          <w:rFonts w:ascii="Malgun Gothic" w:hAnsi="Malgun Gothic" w:eastAsia="Malgun Gothic" w:cs="Malgun Gothic"/>
          <w:b/>
          <w:sz w:val="19"/>
          <w:szCs w:val="19"/>
        </w:rPr>
        <w:t xml:space="preserve">제3조 (계약기간)</w:t>
      </w:r>
      <w:r>
        <w:rPr>
          <w:rFonts w:ascii="Malgun Gothic" w:hAnsi="Malgun Gothic" w:eastAsia="Malgun Gothic" w:cs="Malgun Gothic"/>
          <w:sz w:val="19"/>
          <w:szCs w:val="19"/>
        </w:rPr>
        <w:t xml:space="preserve"> 본 계약의 유효기간은 체결일로부터 1년으로 하고, 만료 1개월 전까지 해지 통지가 없으면 동일 조건으로 1년씩 자동 연장된다.</w:t>
      </w:r>
    </w:p>
    <w:p>
      <w:pPr>
        <w:spacing w:before="0" w:after="20" w:line="240" w:lineRule="auto"/>
      </w:pPr>
      <w:r>
        <w:rPr>
          <w:rFonts w:ascii="Malgun Gothic" w:hAnsi="Malgun Gothic" w:eastAsia="Malgun Gothic" w:cs="Malgun Gothic"/>
          <w:b/>
          <w:sz w:val="19"/>
          <w:szCs w:val="19"/>
        </w:rPr>
        <w:t xml:space="preserve">제4조 (상품 등록 및 시세 제공)</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을은 품명, 원산지, 중량, 판매가격을 정확히 등록하여야 하며, 허위·과장 정보를 등록하여서는 아니 된다. 정찰제 원칙에 따라 등록 가격 외의 금액을 소비자에게 청구할 수 없다.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을은 매 영업일 오전 9시까지 당일 시세를 갑에게 제공하여야 한다. 다만, DX 대행 신청 시 갑이 이를 대신 수행할 수 있다.</w:t>
      </w:r>
    </w:p>
    <w:p>
      <w:pPr>
        <w:ind w:left="420" w:hanging="240"/>
        <w:spacing w:before="0" w:after="15" w:line="240" w:lineRule="auto"/>
      </w:pPr>
      <w:r>
        <w:rPr>
          <w:rFonts w:ascii="Malgun Gothic" w:hAnsi="Malgun Gothic" w:eastAsia="Malgun Gothic" w:cs="Malgun Gothic"/>
          <w:sz w:val="19"/>
          <w:szCs w:val="19"/>
        </w:rPr>
        <w:t xml:space="preserve">3. </w:t>
      </w:r>
      <w:r>
        <w:rPr>
          <w:rFonts w:ascii="Malgun Gothic" w:hAnsi="Malgun Gothic" w:eastAsia="Malgun Gothic" w:cs="Malgun Gothic"/>
          <w:sz w:val="19"/>
          <w:szCs w:val="19"/>
        </w:rPr>
        <w:t xml:space="preserve">을은 식품위생법, 수산물품질관리법, 원산지 표시 등 관련 법령을 준수하여야 한다.</w:t>
      </w:r>
    </w:p>
    <w:p>
      <w:pPr>
        <w:spacing w:before="0" w:after="20" w:line="240" w:lineRule="auto"/>
      </w:pPr>
      <w:r>
        <w:rPr>
          <w:rFonts w:ascii="Malgun Gothic" w:hAnsi="Malgun Gothic" w:eastAsia="Malgun Gothic" w:cs="Malgun Gothic"/>
          <w:b/>
          <w:sz w:val="19"/>
          <w:szCs w:val="19"/>
        </w:rPr>
        <w:t xml:space="preserve">제5조 (캠 캡처 인증 및 품질 보증)</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을은 캠 캡처 인증제에 협조하고, 계량 중량과 실제 판매 중량이 다르지 않도록 하여야 한다. 갑은 매 영업일 표본 검수 후 살수율 등 품질 등급을 플랫폼에 공지할 수 있다.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살수율 미달·중량 부족으로 인한 환불은 그 원인이 을의 귀책사유인 경우 을이 부담한다.</w:t>
      </w:r>
    </w:p>
    <w:p>
      <w:pPr>
        <w:spacing w:before="0" w:after="20" w:line="240" w:lineRule="auto"/>
      </w:pPr>
      <w:r>
        <w:rPr>
          <w:rFonts w:ascii="Malgun Gothic" w:hAnsi="Malgun Gothic" w:eastAsia="Malgun Gothic" w:cs="Malgun Gothic"/>
          <w:b/>
          <w:sz w:val="19"/>
          <w:szCs w:val="19"/>
        </w:rPr>
        <w:t xml:space="preserve">제6조 (중개수수료 및 정산)</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중개수수료는 체결일로부터 6개월간 0%로 하고, 이후 판매금액의 5% 이상 10% 이하의 범위 내에서 상품군별 별도 약정서로 정한다.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갑은 판매대금에서 중개수수료·배송 분담금 등 을이 동의한 비용을 공제한 잔액을 주 1회(매주 화요일) 을의 지정 계좌로 지급하며, 공제 항목·금액·산출 근거·사유가 기재된 정산 내역서를 함께 제공한다. 을이 이견을 제기하면 갑은 이를 확인하여 결과를 통지한다.</w:t>
      </w:r>
    </w:p>
    <w:p>
      <w:pPr>
        <w:ind w:left="420" w:hanging="240"/>
        <w:spacing w:before="0" w:after="15" w:line="240" w:lineRule="auto"/>
      </w:pPr>
      <w:r>
        <w:rPr>
          <w:rFonts w:ascii="Malgun Gothic" w:hAnsi="Malgun Gothic" w:eastAsia="Malgun Gothic" w:cs="Malgun Gothic"/>
          <w:sz w:val="19"/>
          <w:szCs w:val="19"/>
        </w:rPr>
        <w:t xml:space="preserve">3. </w:t>
      </w:r>
      <w:r>
        <w:rPr>
          <w:rFonts w:ascii="Malgun Gothic" w:hAnsi="Malgun Gothic" w:eastAsia="Malgun Gothic" w:cs="Malgun Gothic"/>
          <w:sz w:val="19"/>
          <w:szCs w:val="19"/>
        </w:rPr>
        <w:t xml:space="preserve">세금계산서는 관계 법령에 따라 상호 발행한다.</w:t>
      </w:r>
    </w:p>
    <w:p>
      <w:pPr>
        <w:spacing w:before="0" w:after="20" w:line="240" w:lineRule="auto"/>
      </w:pPr>
      <w:r>
        <w:rPr>
          <w:rFonts w:ascii="Malgun Gothic" w:hAnsi="Malgun Gothic" w:eastAsia="Malgun Gothic" w:cs="Malgun Gothic"/>
          <w:b/>
          <w:sz w:val="19"/>
          <w:szCs w:val="19"/>
        </w:rPr>
        <w:t xml:space="preserve">제7조 (배송 및 합배송)</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합배송 이용 시 을은 갑이 지정한 시각까지 상품을 TC에 반입하고, 포장 상태는 배송 완료 시까지 5℃ 이하 콜드체인 기준을 충족하여야 한다.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갑은 합배송 상품을 안전하게 보관·포장·배송하여야 하며, 갑의 과실로 상품이 훼손·변질된 경우 갑이 배상한다. 개별 배송의 배송비는 별도 약정에 따른다.</w:t>
      </w:r>
    </w:p>
    <w:p>
      <w:pPr>
        <w:spacing w:before="0" w:after="20" w:line="240" w:lineRule="auto"/>
      </w:pPr>
      <w:r>
        <w:rPr>
          <w:rFonts w:ascii="Malgun Gothic" w:hAnsi="Malgun Gothic" w:eastAsia="Malgun Gothic" w:cs="Malgun Gothic"/>
          <w:b/>
          <w:sz w:val="19"/>
          <w:szCs w:val="19"/>
        </w:rPr>
        <w:t xml:space="preserve">제8조 (DX 대행 서비스)</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을의 신청이 있으면 갑은 당일 시세 입력, 리뷰 관리, 불만 고객 응대, 정산 확인을 대리 수행할 수 있다. 이 경우에도 상품 품질·원산지 표시에 관한 책임은 을에게 있다.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갑은 DX 대행 과정에서 알게 된 을의 영업 정보를 제3자에게 누설하여서는 아니 된다.</w:t>
      </w:r>
    </w:p>
    <w:p>
      <w:pPr>
        <w:spacing w:before="0" w:after="20" w:line="240" w:lineRule="auto"/>
      </w:pPr>
      <w:r>
        <w:rPr>
          <w:rFonts w:ascii="Malgun Gothic" w:hAnsi="Malgun Gothic" w:eastAsia="Malgun Gothic" w:cs="Malgun Gothic"/>
          <w:b/>
          <w:sz w:val="19"/>
          <w:szCs w:val="19"/>
        </w:rPr>
        <w:t xml:space="preserve">제9조 (반품·환불 및 소비자 보호)</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신선식품 특성상 소비자의 단순 변심에 의한 반품·교환은 제한될 수 있으며, 그 기준은 전자상거래 등에서의 소비자보호에 관한 법률 등 관계 법령과 플랫폼 운영 정책에 따른다. 상품의 하자·변질·중량 부족에 따른 반품·환불은 즉시 처리함을 원칙으로 한다.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갑과 을은 관계 법령상 통신판매업자·통신판매중개업자의 의무를 성실히 이행하고, 소비자 분쟁 발생 시 상호 협력하여 해결한다.</w:t>
      </w:r>
    </w:p>
    <w:p>
      <w:pPr>
        <w:spacing w:before="0" w:after="20" w:line="240" w:lineRule="auto"/>
      </w:pPr>
      <w:r>
        <w:rPr>
          <w:rFonts w:ascii="Malgun Gothic" w:hAnsi="Malgun Gothic" w:eastAsia="Malgun Gothic" w:cs="Malgun Gothic"/>
          <w:b/>
          <w:sz w:val="19"/>
          <w:szCs w:val="19"/>
        </w:rPr>
        <w:t xml:space="preserve">제10조 (금지행위)</w:t>
      </w:r>
      <w:r>
        <w:rPr>
          <w:rFonts w:ascii="Malgun Gothic" w:hAnsi="Malgun Gothic" w:eastAsia="Malgun Gothic" w:cs="Malgun Gothic"/>
          <w:sz w:val="19"/>
          <w:szCs w:val="19"/>
        </w:rPr>
        <w:t xml:space="preserve"> 을은 다음 각 호의 행위를 하여서는 아니 된다.</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원산지 허위 표시, 중량 조작, 유통기한 위·변조 등 소비자를 기만하는 행위</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플랫폼을 통하지 아니한 우회 거래(플랫폼을 통해 알게 된 소비자와의 직거래 유도 등)</w:t>
      </w:r>
    </w:p>
    <w:p>
      <w:pPr>
        <w:ind w:left="420" w:hanging="240"/>
        <w:spacing w:before="0" w:after="15" w:line="240" w:lineRule="auto"/>
      </w:pPr>
      <w:r>
        <w:rPr>
          <w:rFonts w:ascii="Malgun Gothic" w:hAnsi="Malgun Gothic" w:eastAsia="Malgun Gothic" w:cs="Malgun Gothic"/>
          <w:sz w:val="19"/>
          <w:szCs w:val="19"/>
        </w:rPr>
        <w:t xml:space="preserve">3. </w:t>
      </w:r>
      <w:r>
        <w:rPr>
          <w:rFonts w:ascii="Malgun Gothic" w:hAnsi="Malgun Gothic" w:eastAsia="Malgun Gothic" w:cs="Malgun Gothic"/>
          <w:sz w:val="19"/>
          <w:szCs w:val="19"/>
        </w:rPr>
        <w:t xml:space="preserve">타인의 지식재산권을 침해하는 상품의 등록·판매</w:t>
      </w:r>
    </w:p>
    <w:p>
      <w:pPr>
        <w:ind w:left="420" w:hanging="240"/>
        <w:spacing w:before="0" w:after="15" w:line="240" w:lineRule="auto"/>
      </w:pPr>
      <w:r>
        <w:rPr>
          <w:rFonts w:ascii="Malgun Gothic" w:hAnsi="Malgun Gothic" w:eastAsia="Malgun Gothic" w:cs="Malgun Gothic"/>
          <w:sz w:val="19"/>
          <w:szCs w:val="19"/>
        </w:rPr>
        <w:t xml:space="preserve">4. </w:t>
      </w:r>
      <w:r>
        <w:rPr>
          <w:rFonts w:ascii="Malgun Gothic" w:hAnsi="Malgun Gothic" w:eastAsia="Malgun Gothic" w:cs="Malgun Gothic"/>
          <w:sz w:val="19"/>
          <w:szCs w:val="19"/>
        </w:rPr>
        <w:t xml:space="preserve">플랫폼의 신뢰를 훼손하는 허위 리뷰의 작성 또는 작성 의뢰</w:t>
      </w:r>
    </w:p>
    <w:p>
      <w:pPr>
        <w:spacing w:before="0" w:after="20" w:line="240" w:lineRule="auto"/>
      </w:pPr>
      <w:r>
        <w:rPr>
          <w:rFonts w:ascii="Malgun Gothic" w:hAnsi="Malgun Gothic" w:eastAsia="Malgun Gothic" w:cs="Malgun Gothic"/>
          <w:b/>
          <w:sz w:val="19"/>
          <w:szCs w:val="19"/>
        </w:rPr>
        <w:t xml:space="preserve">제11조 (계약의 변경)</w:t>
      </w:r>
      <w:r>
        <w:rPr>
          <w:rFonts w:ascii="Malgun Gothic" w:hAnsi="Malgun Gothic" w:eastAsia="Malgun Gothic" w:cs="Malgun Gothic"/>
          <w:sz w:val="19"/>
          <w:szCs w:val="19"/>
        </w:rPr>
        <w:t xml:space="preserve"> 갑이 중개수수료율·정산 주기 등 계약의 핵심 사항을 변경하려는 경우 30일 전까지 을에게 서면(전자문서 포함)으로 통지하고 협의하여야 하며, 을이 동의하지 아니하면 본 계약을 해지할 수 있다.</w:t>
      </w:r>
    </w:p>
    <w:p>
      <w:pPr>
        <w:spacing w:before="0" w:after="20" w:line="240" w:lineRule="auto"/>
      </w:pPr>
      <w:r>
        <w:rPr>
          <w:rFonts w:ascii="Malgun Gothic" w:hAnsi="Malgun Gothic" w:eastAsia="Malgun Gothic" w:cs="Malgun Gothic"/>
          <w:b/>
          <w:sz w:val="19"/>
          <w:szCs w:val="19"/>
        </w:rPr>
        <w:t xml:space="preserve">제12조 (계약의 해지)</w:t>
      </w:r>
    </w:p>
    <w:p>
      <w:pPr>
        <w:ind w:left="420" w:hanging="240"/>
        <w:spacing w:before="0" w:after="15" w:line="240" w:lineRule="auto"/>
      </w:pPr>
      <w:r>
        <w:rPr>
          <w:rFonts w:ascii="Malgun Gothic" w:hAnsi="Malgun Gothic" w:eastAsia="Malgun Gothic" w:cs="Malgun Gothic"/>
          <w:sz w:val="19"/>
          <w:szCs w:val="19"/>
        </w:rPr>
        <w:t xml:space="preserve">1. </w:t>
      </w:r>
      <w:r>
        <w:rPr>
          <w:rFonts w:ascii="Malgun Gothic" w:hAnsi="Malgun Gothic" w:eastAsia="Malgun Gothic" w:cs="Malgun Gothic"/>
          <w:sz w:val="19"/>
          <w:szCs w:val="19"/>
        </w:rPr>
        <w:t xml:space="preserve">어느 일방 당사자는 30일 전 서면 통지로 본 계약을 해지할 수 있다. 제10조 위반, 관계 법령 위반으로 인한 영업 정지·취소, 중대한 의무 위반 후 상당한 기간 내 미시정의 경우 상대방은 최고 없이 즉시 해지할 수 있다.</w:t>
      </w:r>
    </w:p>
    <w:p>
      <w:pPr>
        <w:ind w:left="420" w:hanging="240"/>
        <w:spacing w:before="0" w:after="15" w:line="240" w:lineRule="auto"/>
      </w:pPr>
      <w:r>
        <w:rPr>
          <w:rFonts w:ascii="Malgun Gothic" w:hAnsi="Malgun Gothic" w:eastAsia="Malgun Gothic" w:cs="Malgun Gothic"/>
          <w:sz w:val="19"/>
          <w:szCs w:val="19"/>
        </w:rPr>
        <w:t xml:space="preserve">2. </w:t>
      </w:r>
      <w:r>
        <w:rPr>
          <w:rFonts w:ascii="Malgun Gothic" w:hAnsi="Malgun Gothic" w:eastAsia="Malgun Gothic" w:cs="Malgun Gothic"/>
          <w:sz w:val="19"/>
          <w:szCs w:val="19"/>
        </w:rPr>
        <w:t xml:space="preserve">계약 해지 시 갑은 미정산 판매대금을 해지일로부터 30일 이내에 정산·지급하여야 한다.</w:t>
      </w:r>
    </w:p>
    <w:p>
      <w:pPr>
        <w:spacing w:before="0" w:after="20" w:line="240" w:lineRule="auto"/>
      </w:pPr>
      <w:r>
        <w:rPr>
          <w:rFonts w:ascii="Malgun Gothic" w:hAnsi="Malgun Gothic" w:eastAsia="Malgun Gothic" w:cs="Malgun Gothic"/>
          <w:b/>
          <w:sz w:val="19"/>
          <w:szCs w:val="19"/>
        </w:rPr>
        <w:t xml:space="preserve">제13조 (손해배상 및 면책)</w:t>
      </w:r>
      <w:r>
        <w:rPr>
          <w:rFonts w:ascii="Malgun Gothic" w:hAnsi="Malgun Gothic" w:eastAsia="Malgun Gothic" w:cs="Malgun Gothic"/>
          <w:sz w:val="19"/>
          <w:szCs w:val="19"/>
        </w:rPr>
        <w:t xml:space="preserve"> 당사자는 계약 위반으로 상대방에게 가한 손해를 배상하여야 한다. 다만, 천재지변 등 불가항력적 사유로 인한 손해는 그러하지 아니하다. 을의 상품 하자로 인한 소비자 피해는 을이 부담하고, 갑은 관계 법령에 따른 중개업자 책임 범위 내에서 소비자 보호에 협력한다.</w:t>
      </w:r>
    </w:p>
    <w:p>
      <w:pPr>
        <w:spacing w:before="0" w:after="20" w:line="240" w:lineRule="auto"/>
      </w:pPr>
      <w:r>
        <w:rPr>
          <w:rFonts w:ascii="Malgun Gothic" w:hAnsi="Malgun Gothic" w:eastAsia="Malgun Gothic" w:cs="Malgun Gothic"/>
          <w:b/>
          <w:sz w:val="19"/>
          <w:szCs w:val="19"/>
        </w:rPr>
        <w:t xml:space="preserve">제14조 (개인정보 보호 및 비밀유지)</w:t>
      </w:r>
      <w:r>
        <w:rPr>
          <w:rFonts w:ascii="Malgun Gothic" w:hAnsi="Malgun Gothic" w:eastAsia="Malgun Gothic" w:cs="Malgun Gothic"/>
          <w:sz w:val="19"/>
          <w:szCs w:val="19"/>
        </w:rPr>
        <w:t xml:space="preserve"> 갑과 을은 거래 과정에서 취득한 소비자 개인정보를 개인정보 보호법에 따라 처리하고, 계약과 관련하여 알게 된 상대방의 영업 비밀을 계약기간 중 및 종료 후에도 제3자에게 누설하거나 부정한 목적으로 사용하여서는 아니 된다.</w:t>
      </w:r>
    </w:p>
    <w:p>
      <w:pPr>
        <w:spacing w:before="0" w:after="20" w:line="240" w:lineRule="auto"/>
      </w:pPr>
      <w:r>
        <w:rPr>
          <w:rFonts w:ascii="Malgun Gothic" w:hAnsi="Malgun Gothic" w:eastAsia="Malgun Gothic" w:cs="Malgun Gothic"/>
          <w:b/>
          <w:sz w:val="19"/>
          <w:szCs w:val="19"/>
        </w:rPr>
        <w:t xml:space="preserve">제15조 (분쟁 해결 및 관할)</w:t>
      </w:r>
      <w:r>
        <w:rPr>
          <w:rFonts w:ascii="Malgun Gothic" w:hAnsi="Malgun Gothic" w:eastAsia="Malgun Gothic" w:cs="Malgun Gothic"/>
          <w:sz w:val="19"/>
          <w:szCs w:val="19"/>
        </w:rPr>
        <w:t xml:space="preserve"> 분쟁은 상호 협의하여 해결함을 원칙으로 하고, 협의가 성립하지 아니하는 경우의 소송은 민사소송법에 따라 서울동부지방법원을 제1심 관할법원으로 한다.</w:t>
      </w:r>
    </w:p>
    <w:p>
      <w:pPr>
        <w:spacing w:before="0" w:after="20" w:line="240" w:lineRule="auto"/>
      </w:pPr>
      <w:r>
        <w:rPr>
          <w:rFonts w:ascii="Malgun Gothic" w:hAnsi="Malgun Gothic" w:eastAsia="Malgun Gothic" w:cs="Malgun Gothic"/>
          <w:b/>
          <w:sz w:val="19"/>
          <w:szCs w:val="19"/>
        </w:rPr>
        <w:t xml:space="preserve">부칙</w:t>
      </w:r>
      <w:r>
        <w:rPr>
          <w:rFonts w:ascii="Malgun Gothic" w:hAnsi="Malgun Gothic" w:eastAsia="Malgun Gothic" w:cs="Malgun Gothic"/>
          <w:sz w:val="19"/>
          <w:szCs w:val="19"/>
        </w:rPr>
        <w:t xml:space="preserve"> 본 계약을 증명하기 위하여 계약서 2부를 작성하여 각 당사자가 기명날인(또는 서명)한 후 각 1부씩 보관한다.</w:t>
      </w:r>
    </w:p>
    <w:p>
      <w:pPr>
        <w:spacing w:before="0" w:after="20" w:line="240" w:lineRule="auto"/>
      </w:pPr>
      <w:r>
        <w:rPr>
          <w:rFonts w:ascii="Malgun Gothic" w:hAnsi="Malgun Gothic" w:eastAsia="Malgun Gothic" w:cs="Malgun Gothic"/>
          <w:sz w:val="19"/>
          <w:szCs w:val="19"/>
        </w:rPr>
        <w:t xml:space="preserve">계약 체결일: 20XX년 XX월 XX일</w:t>
      </w:r>
    </w:p>
    <w:tbl>
      <w:tblPr>
        <w:tblW w:w="0" w:type="auto"/>
        <w:tblBorders>
          <w:top w:val="single" w:sz="4" w:color="888888"/>
          <w:left w:val="single" w:sz="4" w:color="888888"/>
          <w:bottom w:val="single" w:sz="4" w:color="888888"/>
          <w:right w:val="single" w:sz="4" w:color="888888"/>
          <w:insideH w:val="single" w:sz="4" w:color="888888"/>
          <w:insideV w:val="single" w:sz="4" w:color="888888"/>
        </w:tblBorders>
        <w:tblCellMar>
          <w:top w:w="40" w:type="dxa"/>
          <w:left w:w="85" w:type="dxa"/>
          <w:bottom w:w="40" w:type="dxa"/>
          <w:right w:w="85" w:type="dxa"/>
        </w:tblCellMar>
      </w:tblPr>
      <w:tblGrid>
        <w:gridCol w:w="3288"/>
        <w:gridCol w:w="3288"/>
        <w:gridCol w:w="3288"/>
      </w:tblGrid>
      <w:tr>
        <w:trPr>
          <w:tblHeader/>
        </w:trPr>
        <w:tc>
          <w:tcPr>
            <w:tcW w:w="3288" w:type="dxa"/>
            <w:shd w:val="clear" w:color="auto" w:fill="E8F0F8"/>
          </w:tcPr>
          <w:p>
            <w:pPr>
              <w:spacing w:before="0" w:after="0" w:line="240" w:lineRule="auto"/>
            </w:pPr>
            <w:r>
              <w:rPr>
                <w:rFonts w:ascii="Malgun Gothic" w:hAnsi="Malgun Gothic" w:eastAsia="Malgun Gothic" w:cs="Malgun Gothic"/>
                <w:b/>
                <w:sz w:val="19"/>
                <w:szCs w:val="19"/>
              </w:rPr>
              <w:t xml:space="preserve">구분</w:t>
            </w:r>
          </w:p>
        </w:tc>
        <w:tc>
          <w:tcPr>
            <w:tcW w:w="3288" w:type="dxa"/>
            <w:shd w:val="clear" w:color="auto" w:fill="E8F0F8"/>
          </w:tcPr>
          <w:p>
            <w:pPr>
              <w:spacing w:before="0" w:after="0" w:line="240" w:lineRule="auto"/>
            </w:pPr>
            <w:r>
              <w:rPr>
                <w:rFonts w:ascii="Malgun Gothic" w:hAnsi="Malgun Gothic" w:eastAsia="Malgun Gothic" w:cs="Malgun Gothic"/>
                <w:b/>
                <w:sz w:val="19"/>
                <w:szCs w:val="19"/>
              </w:rPr>
              <w:t xml:space="preserve">갑 (플랫폼 운영자)</w:t>
            </w:r>
          </w:p>
        </w:tc>
        <w:tc>
          <w:tcPr>
            <w:tcW w:w="3288" w:type="dxa"/>
            <w:shd w:val="clear" w:color="auto" w:fill="E8F0F8"/>
          </w:tcPr>
          <w:p>
            <w:pPr>
              <w:spacing w:before="0" w:after="0" w:line="240" w:lineRule="auto"/>
            </w:pPr>
            <w:r>
              <w:rPr>
                <w:rFonts w:ascii="Malgun Gothic" w:hAnsi="Malgun Gothic" w:eastAsia="Malgun Gothic" w:cs="Malgun Gothic"/>
                <w:b/>
                <w:sz w:val="19"/>
                <w:szCs w:val="19"/>
              </w:rPr>
              <w:t xml:space="preserve">을 (총판)</w:t>
            </w:r>
          </w:p>
        </w:tc>
      </w:tr>
      <w:tr>
        <w:tc>
          <w:tcPr>
            <w:tcW w:w="3288" w:type="dxa"/>
          </w:tcPr>
          <w:p>
            <w:pPr>
              <w:spacing w:before="0" w:after="0" w:line="240" w:lineRule="auto"/>
            </w:pPr>
            <w:r>
              <w:rPr>
                <w:rFonts w:ascii="Malgun Gothic" w:hAnsi="Malgun Gothic" w:eastAsia="Malgun Gothic" w:cs="Malgun Gothic"/>
                <w:sz w:val="19"/>
                <w:szCs w:val="19"/>
              </w:rPr>
              <w:t xml:space="preserve">법인명(상호)</w:t>
            </w:r>
          </w:p>
        </w:tc>
        <w:tc>
          <w:tcPr>
            <w:tcW w:w="3288" w:type="dxa"/>
          </w:tcPr>
          <w:p>
            <w:pPr>
              <w:spacing w:before="0" w:after="0" w:line="240" w:lineRule="auto"/>
            </w:pPr>
            <w:r>
              <w:rPr>
                <w:rFonts w:ascii="Malgun Gothic" w:hAnsi="Malgun Gothic" w:eastAsia="Malgun Gothic" w:cs="Malgun Gothic"/>
                <w:sz w:val="19"/>
                <w:szCs w:val="19"/>
              </w:rPr>
              <w:t xml:space="preserve">파트너스사회적협동조합</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대표자</w:t>
            </w:r>
          </w:p>
        </w:tc>
        <w:tc>
          <w:tcPr>
            <w:tcW w:w="3288" w:type="dxa"/>
          </w:tcPr>
          <w:p>
            <w:pPr>
              <w:spacing w:before="0" w:after="0" w:line="240" w:lineRule="auto"/>
            </w:pPr>
            <w:r>
              <w:rPr>
                <w:rFonts w:ascii="Malgun Gothic" w:hAnsi="Malgun Gothic" w:eastAsia="Malgun Gothic" w:cs="Malgun Gothic"/>
                <w:sz w:val="19"/>
                <w:szCs w:val="19"/>
              </w:rPr>
              <w:t xml:space="preserve">강준철</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사업자등록번호</w:t>
            </w:r>
          </w:p>
        </w:tc>
        <w:tc>
          <w:tcPr>
            <w:tcW w:w="3288" w:type="dxa"/>
          </w:tcPr>
          <w:p>
            <w:pPr>
              <w:spacing w:before="0" w:after="0" w:line="240" w:lineRule="auto"/>
            </w:pPr>
            <w:r>
              <w:rPr>
                <w:rFonts w:ascii="Malgun Gothic" w:hAnsi="Malgun Gothic" w:eastAsia="Malgun Gothic" w:cs="Malgun Gothic"/>
                <w:sz w:val="19"/>
                <w:szCs w:val="19"/>
              </w:rPr>
              <w:t xml:space="preserve">589-82-00469</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주소</w:t>
            </w:r>
          </w:p>
        </w:tc>
        <w:tc>
          <w:tcPr>
            <w:tcW w:w="3288" w:type="dxa"/>
          </w:tcPr>
          <w:p>
            <w:pPr>
              <w:spacing w:before="0" w:after="0" w:line="240" w:lineRule="auto"/>
            </w:pPr>
            <w:r>
              <w:rPr>
                <w:rFonts w:ascii="Malgun Gothic" w:hAnsi="Malgun Gothic" w:eastAsia="Malgun Gothic" w:cs="Malgun Gothic"/>
                <w:sz w:val="19"/>
                <w:szCs w:val="19"/>
              </w:rPr>
              <w:t xml:space="preserve">서울시 송파구 새말로 15길 16-8, 101호</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이메일</w:t>
            </w:r>
          </w:p>
        </w:tc>
        <w:tc>
          <w:tcPr>
            <w:tcW w:w="3288" w:type="dxa"/>
          </w:tcPr>
          <w:p>
            <w:pPr>
              <w:spacing w:before="0" w:after="0" w:line="240" w:lineRule="auto"/>
            </w:pPr>
            <w:r>
              <w:rPr>
                <w:rFonts w:ascii="Malgun Gothic" w:hAnsi="Malgun Gothic" w:eastAsia="Malgun Gothic" w:cs="Malgun Gothic"/>
                <w:sz w:val="19"/>
                <w:szCs w:val="19"/>
              </w:rPr>
              <w:t xml:space="preserve">partnersc88@gmail.com</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연락처</w:t>
            </w:r>
          </w:p>
        </w:tc>
        <w:tc>
          <w:tcPr>
            <w:tcW w:w="3288" w:type="dxa"/>
          </w:tcPr>
          <w:p>
            <w:pPr>
              <w:spacing w:before="0" w:after="0" w:line="240" w:lineRule="auto"/>
            </w:pPr>
            <w:r>
              <w:rPr>
                <w:rFonts w:ascii="Malgun Gothic" w:hAnsi="Malgun Gothic" w:eastAsia="Malgun Gothic" w:cs="Malgun Gothic"/>
                <w:sz w:val="19"/>
                <w:szCs w:val="19"/>
              </w:rPr>
              <w:t xml:space="preserve">010-8482-8545</w:t>
            </w:r>
          </w:p>
        </w:tc>
        <w:tc>
          <w:tcPr>
            <w:tcW w:w="3288" w:type="dxa"/>
          </w:tcPr>
          <w:p>
            <w:pPr>
              <w:spacing w:before="0" w:after="0" w:line="240" w:lineRule="auto"/>
            </w:pPr>
          </w:p>
        </w:tc>
      </w:tr>
      <w:tr>
        <w:tc>
          <w:tcPr>
            <w:tcW w:w="3288" w:type="dxa"/>
          </w:tcPr>
          <w:p>
            <w:pPr>
              <w:spacing w:before="0" w:after="0" w:line="240" w:lineRule="auto"/>
            </w:pPr>
            <w:r>
              <w:rPr>
                <w:rFonts w:ascii="Malgun Gothic" w:hAnsi="Malgun Gothic" w:eastAsia="Malgun Gothic" w:cs="Malgun Gothic"/>
                <w:sz w:val="19"/>
                <w:szCs w:val="19"/>
              </w:rPr>
              <w:t xml:space="preserve">서명(날인)</w:t>
            </w:r>
          </w:p>
        </w:tc>
        <w:tc>
          <w:tcPr>
            <w:tcW w:w="3288" w:type="dxa"/>
          </w:tcPr>
          <w:p>
            <w:pPr>
              <w:spacing w:before="0" w:after="0" w:line="240" w:lineRule="auto"/>
            </w:pPr>
          </w:p>
        </w:tc>
        <w:tc>
          <w:tcPr>
            <w:tcW w:w="3288" w:type="dxa"/>
          </w:tcPr>
          <w:p>
            <w:pPr>
              <w:spacing w:before="0" w:after="0" w:line="240" w:lineRule="auto"/>
            </w:pPr>
          </w:p>
        </w:tc>
      </w:tr>
    </w:tbl>
    <w:p>
      <w:pPr>
        <w:spacing w:before="0" w:after="20" w:line="240" w:lineRule="auto"/>
      </w:pPr>
    </w:p>
    <w:sectPr>
      <w:pgSz w:w="11906" w:h="16838"/>
      <w:pgMar w:top="1134" w:right="1021" w:bottom="1134" w:left="1021" w:header="708" w:footer="708" w:gutter="0"/>
    </w:sectPr>
  </w:body>
</w:document>
</file>