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품질 검수 체크리스트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검수일: 20XX. XX. XX · 검수자: ________ · 점포명: ________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/>
        </w:trPr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#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품목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살수율 측정(%)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등급(A/B/C)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중량 확인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선도(외관·냄새)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캠 캡처</w:t>
            </w:r>
          </w:p>
        </w:tc>
        <w:tc>
          <w:tcPr>
            <w:tcW w:w="1233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□적합 □부적합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□양호 □이상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□완료 □미흡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□합격 □반려</w:t>
            </w:r>
          </w:p>
        </w:tc>
      </w:tr>
      <w:tr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2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□적합 □부적합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□양호 □이상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□완료 □미흡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□합격 □반려</w:t>
            </w:r>
          </w:p>
        </w:tc>
      </w:tr>
      <w:tr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3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□적합 □부적합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□양호 □이상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□완료 □미흡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□합격 □반려</w:t>
            </w:r>
          </w:p>
        </w:tc>
      </w:tr>
      <w:tr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4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□적합 □부적합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□양호 □이상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□완료 □미흡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□합격 □반려</w:t>
            </w:r>
          </w:p>
        </w:tc>
      </w:tr>
      <w:tr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5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□적합 □부적합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□양호 □이상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□완료 □미흡</w:t>
            </w:r>
          </w:p>
        </w:tc>
        <w:tc>
          <w:tcPr>
            <w:tcW w:w="1233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□합격 □반려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기준 요약 (입점계약서 제5조)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살수율: A급(살 85% 이상 추정) / B급(70~85%) / C급(70% 미만 — 판매 중지 권고)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캠 캡처: 계량 저울 사진이 플랫폼에 등록되어 소비자에게 중량이 고지되었는지 확인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콜드체인: 보관·포장 온도 5℃ 이하 유지 확인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반려 사유·특이사항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확인</w:t>
      </w:r>
      <w:r>
        <w:rPr>
          <w:rFonts w:ascii="Malgun Gothic" w:hAnsi="Malgun Gothic" w:eastAsia="Malgun Gothic" w:cs="Malgun Gothic"/>
          <w:sz w:val="19"/>
          <w:szCs w:val="19"/>
        </w:rPr>
        <w:t xml:space="preserve"> 점포 대표: ________ (서명) / 검수자: ________ (서명)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※ 검수 결과(등급)는 당일 플랫폼 상품 페이지에 공지됩니다.</w:t>
      </w:r>
    </w:p>
    <w:sectPr>
      <w:pgSz w:w="11906" w:h="16838"/>
      <w:pgMar w:top="1134" w:right="1021" w:bottom="1134" w:left="1021" w:header="708" w:footer="708" w:gutter="0"/>
    </w:sectPr>
  </w:body>
</w:document>
</file>